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B3DB4" w14:textId="00F8B8DE" w:rsidR="00AB02B3" w:rsidRPr="00AB02B3" w:rsidRDefault="00F34C76" w:rsidP="00AB02B3">
      <w:pPr>
        <w:spacing w:after="0"/>
        <w:jc w:val="center"/>
        <w:rPr>
          <w:rFonts w:ascii="Times New Roman" w:hAnsi="Times New Roman"/>
          <w:b/>
          <w:sz w:val="24"/>
          <w:szCs w:val="28"/>
          <w:lang w:val="en-US"/>
        </w:rPr>
      </w:pPr>
      <w:r>
        <w:rPr>
          <w:rFonts w:ascii="Times New Roman" w:hAnsi="Times New Roman"/>
          <w:b/>
          <w:sz w:val="24"/>
          <w:szCs w:val="28"/>
          <w:lang w:val="en-US"/>
        </w:rPr>
        <w:t xml:space="preserve">PENYELESAIAN SENGKETA KELAPA SAWIT INDONESIA – UNI EROPA DI </w:t>
      </w:r>
      <w:r w:rsidRPr="0007294E">
        <w:rPr>
          <w:rFonts w:ascii="Times New Roman" w:hAnsi="Times New Roman"/>
          <w:b/>
          <w:i/>
          <w:iCs/>
          <w:sz w:val="24"/>
          <w:szCs w:val="28"/>
          <w:lang w:val="en-US"/>
        </w:rPr>
        <w:t>WORLD TRADE ORGANIZATION</w:t>
      </w:r>
      <w:r>
        <w:rPr>
          <w:rFonts w:ascii="Times New Roman" w:hAnsi="Times New Roman"/>
          <w:b/>
          <w:sz w:val="24"/>
          <w:szCs w:val="28"/>
          <w:lang w:val="en-US"/>
        </w:rPr>
        <w:t xml:space="preserve"> (WTO) </w:t>
      </w:r>
    </w:p>
    <w:p w14:paraId="3C3AF6C3" w14:textId="77777777" w:rsidR="00AB02B3" w:rsidRPr="00A510E9" w:rsidRDefault="00AB02B3" w:rsidP="00067644">
      <w:pPr>
        <w:spacing w:after="0"/>
        <w:jc w:val="center"/>
        <w:rPr>
          <w:rFonts w:ascii="Times New Roman" w:hAnsi="Times New Roman"/>
          <w:b/>
          <w:color w:val="000000"/>
          <w:sz w:val="24"/>
          <w:szCs w:val="24"/>
          <w:lang w:val="en-AU"/>
        </w:rPr>
      </w:pPr>
    </w:p>
    <w:p w14:paraId="3D195E8C" w14:textId="77777777" w:rsidR="00FC1685" w:rsidRPr="00A510E9" w:rsidRDefault="00FC1685" w:rsidP="001B6D7D">
      <w:pPr>
        <w:pStyle w:val="FootnoteText"/>
        <w:jc w:val="center"/>
        <w:rPr>
          <w:b/>
          <w:bCs/>
          <w:sz w:val="22"/>
          <w:szCs w:val="22"/>
          <w:lang w:val="id-ID"/>
        </w:rPr>
      </w:pPr>
    </w:p>
    <w:p w14:paraId="114CF42F" w14:textId="719CA3E1" w:rsidR="00FC1685" w:rsidRPr="00A510E9" w:rsidRDefault="00AD199C" w:rsidP="009B15B6">
      <w:pPr>
        <w:pStyle w:val="FootnoteText"/>
        <w:jc w:val="center"/>
        <w:rPr>
          <w:b/>
          <w:bCs/>
          <w:sz w:val="22"/>
          <w:szCs w:val="22"/>
          <w:lang w:val="en-AU"/>
        </w:rPr>
      </w:pPr>
      <w:r>
        <w:rPr>
          <w:b/>
          <w:bCs/>
          <w:sz w:val="22"/>
          <w:szCs w:val="22"/>
        </w:rPr>
        <w:t>N</w:t>
      </w:r>
      <w:r w:rsidR="00F34C76">
        <w:rPr>
          <w:b/>
          <w:bCs/>
          <w:sz w:val="22"/>
          <w:szCs w:val="22"/>
        </w:rPr>
        <w:t>ova Medinda</w:t>
      </w:r>
      <w:r w:rsidR="00AB02B3">
        <w:rPr>
          <w:rStyle w:val="FootnoteReference"/>
          <w:b/>
          <w:bCs/>
          <w:sz w:val="22"/>
          <w:szCs w:val="22"/>
        </w:rPr>
        <w:footnoteReference w:id="1"/>
      </w:r>
    </w:p>
    <w:p w14:paraId="504061F3" w14:textId="77777777" w:rsidR="001B6D7D" w:rsidRPr="001462BB" w:rsidRDefault="001B6D7D" w:rsidP="001B6D7D">
      <w:pPr>
        <w:pStyle w:val="FootnoteText"/>
        <w:jc w:val="center"/>
        <w:rPr>
          <w:b/>
          <w:i/>
          <w:sz w:val="22"/>
          <w:szCs w:val="22"/>
        </w:rPr>
      </w:pPr>
    </w:p>
    <w:p w14:paraId="37C10DD2" w14:textId="12E779F9" w:rsidR="00B80241" w:rsidRPr="002166A7" w:rsidRDefault="00B303EF" w:rsidP="00B80241">
      <w:pPr>
        <w:spacing w:after="0" w:line="240" w:lineRule="auto"/>
        <w:ind w:left="851" w:right="849"/>
        <w:jc w:val="both"/>
        <w:rPr>
          <w:rFonts w:ascii="Times New Roman" w:hAnsi="Times New Roman"/>
          <w:i/>
          <w:iCs/>
          <w:color w:val="000000"/>
          <w:sz w:val="20"/>
          <w:szCs w:val="20"/>
        </w:rPr>
      </w:pPr>
      <w:r w:rsidRPr="00A510E9">
        <w:rPr>
          <w:rFonts w:ascii="Times New Roman" w:eastAsia="Calibri" w:hAnsi="Times New Roman"/>
          <w:b/>
          <w:bCs/>
          <w:i/>
          <w:sz w:val="20"/>
          <w:szCs w:val="20"/>
          <w:lang w:val="en-US"/>
        </w:rPr>
        <w:t>Abstract</w:t>
      </w:r>
      <w:r w:rsidRPr="00F158CA">
        <w:rPr>
          <w:rFonts w:ascii="Times New Roman" w:eastAsia="Calibri" w:hAnsi="Times New Roman"/>
          <w:b/>
          <w:bCs/>
          <w:i/>
          <w:sz w:val="20"/>
          <w:szCs w:val="20"/>
          <w:lang w:val="en-US"/>
        </w:rPr>
        <w:t xml:space="preserve">: </w:t>
      </w:r>
      <w:r w:rsidR="00A21A4F" w:rsidRPr="002166A7">
        <w:rPr>
          <w:rFonts w:ascii="Times New Roman" w:hAnsi="Times New Roman"/>
          <w:i/>
          <w:iCs/>
          <w:color w:val="000000"/>
          <w:sz w:val="20"/>
          <w:szCs w:val="20"/>
        </w:rPr>
        <w:t>This study aims to describe how the Indonesian - European Union palm oil disputes were resolved at the WTO as a result of the RED II policy and the Delegated Regulation which Indonesia considered discriminated against CPO where the European Union issued the RED II policy and the Delegated Regulation which categorized palm oil as the only vegetable oil commodity the risk of ILUC is high because it causes deforestation and will be reduced slowly to 0% in 2030 to meet the renewable energy target of 32% in 2030. The author uses descriptive research methods and literature analysis with primary and secondary data sources. The data analysis technique is qualitative. The results of the study show that Indonesian CPO actually has an important role in meeting the demand for vegetable oil in the EU and the EU will use sunflower oil as an alternative</w:t>
      </w:r>
      <w:r w:rsidR="00A21A4F" w:rsidRPr="002166A7">
        <w:rPr>
          <w:rFonts w:ascii="Times New Roman" w:hAnsi="Times New Roman"/>
          <w:i/>
          <w:iCs/>
          <w:color w:val="000000"/>
          <w:sz w:val="20"/>
          <w:szCs w:val="20"/>
          <w:lang w:val="en-US"/>
        </w:rPr>
        <w:t xml:space="preserve">. </w:t>
      </w:r>
      <w:r w:rsidR="00A21A4F" w:rsidRPr="002166A7">
        <w:rPr>
          <w:rFonts w:ascii="Times New Roman" w:hAnsi="Times New Roman"/>
          <w:i/>
          <w:iCs/>
          <w:color w:val="000000"/>
          <w:sz w:val="20"/>
          <w:szCs w:val="20"/>
        </w:rPr>
        <w:t>Indonesia itself before the RED II policy was enacted had made various efforts for sustainable CPO such as ISPO, PSR, One</w:t>
      </w:r>
      <w:r w:rsidR="00A21A4F" w:rsidRPr="002166A7">
        <w:rPr>
          <w:rFonts w:ascii="Times New Roman" w:hAnsi="Times New Roman"/>
          <w:i/>
          <w:iCs/>
          <w:color w:val="000000"/>
          <w:sz w:val="20"/>
          <w:szCs w:val="20"/>
          <w:lang w:val="en-US"/>
        </w:rPr>
        <w:t xml:space="preserve"> </w:t>
      </w:r>
      <w:r w:rsidR="00A21A4F" w:rsidRPr="002166A7">
        <w:rPr>
          <w:rFonts w:ascii="Times New Roman" w:hAnsi="Times New Roman"/>
          <w:i/>
          <w:iCs/>
          <w:color w:val="000000"/>
          <w:sz w:val="20"/>
          <w:szCs w:val="20"/>
        </w:rPr>
        <w:t>Map</w:t>
      </w:r>
      <w:r w:rsidR="00A21A4F" w:rsidRPr="002166A7">
        <w:rPr>
          <w:rFonts w:ascii="Times New Roman" w:hAnsi="Times New Roman"/>
          <w:i/>
          <w:iCs/>
          <w:color w:val="000000"/>
          <w:sz w:val="20"/>
          <w:szCs w:val="20"/>
          <w:lang w:val="en-US"/>
        </w:rPr>
        <w:t xml:space="preserve"> Policy</w:t>
      </w:r>
      <w:r w:rsidR="00A21A4F" w:rsidRPr="002166A7">
        <w:rPr>
          <w:rFonts w:ascii="Times New Roman" w:hAnsi="Times New Roman"/>
          <w:i/>
          <w:iCs/>
          <w:color w:val="000000"/>
          <w:sz w:val="20"/>
          <w:szCs w:val="20"/>
        </w:rPr>
        <w:t xml:space="preserve">, Indonesia-Dutch Cooperation for sustainable palm oil, Indonesia-Switzerland CPO trade agreement, Meeting of world palm oil producing countries, and others. </w:t>
      </w:r>
      <w:r w:rsidR="00A21A4F" w:rsidRPr="002166A7">
        <w:rPr>
          <w:rFonts w:ascii="Times New Roman" w:hAnsi="Times New Roman"/>
          <w:i/>
          <w:iCs/>
          <w:color w:val="000000"/>
          <w:sz w:val="20"/>
          <w:szCs w:val="20"/>
          <w:lang w:val="en-US"/>
        </w:rPr>
        <w:t>L</w:t>
      </w:r>
      <w:r w:rsidR="00A21A4F" w:rsidRPr="002166A7">
        <w:rPr>
          <w:rFonts w:ascii="Times New Roman" w:hAnsi="Times New Roman"/>
          <w:i/>
          <w:iCs/>
          <w:color w:val="000000"/>
          <w:sz w:val="20"/>
          <w:szCs w:val="20"/>
        </w:rPr>
        <w:t>astly the Oil Palm Diplomacy Joint Mission. However, the European Union still enforces the RED II policy so that Indonesia decides to file a lawsuit through the WTO because of discrimination by the European Union and for Indonesia this has violated WTO trade regulations. This dispute is registered with the WTO under case number DS593 and is already at the panel stage. Until now, this case has not yet released the results from the panel.</w:t>
      </w:r>
    </w:p>
    <w:p w14:paraId="1C85D95B" w14:textId="043C1612" w:rsidR="00F158CA" w:rsidRPr="00B80241" w:rsidRDefault="00F158CA" w:rsidP="00C6393F">
      <w:pPr>
        <w:spacing w:after="0" w:line="240" w:lineRule="auto"/>
        <w:ind w:left="851" w:right="849"/>
        <w:jc w:val="both"/>
        <w:rPr>
          <w:rFonts w:ascii="Times New Roman" w:eastAsia="Calibri" w:hAnsi="Times New Roman"/>
          <w:bCs/>
          <w:i/>
          <w:sz w:val="18"/>
          <w:szCs w:val="18"/>
        </w:rPr>
      </w:pPr>
    </w:p>
    <w:p w14:paraId="7041CEBB" w14:textId="39E9B992" w:rsidR="001B6D7D" w:rsidRPr="00F158CA" w:rsidRDefault="001B6D7D" w:rsidP="00C6393F">
      <w:pPr>
        <w:spacing w:after="0" w:line="240" w:lineRule="auto"/>
        <w:ind w:left="851" w:right="849"/>
        <w:jc w:val="both"/>
        <w:rPr>
          <w:rFonts w:ascii="Times New Roman" w:eastAsia="Calibri" w:hAnsi="Times New Roman"/>
          <w:b/>
          <w:bCs/>
          <w:i/>
          <w:sz w:val="20"/>
          <w:szCs w:val="20"/>
          <w:lang w:val="en-US"/>
        </w:rPr>
      </w:pPr>
      <w:r w:rsidRPr="00A510E9">
        <w:rPr>
          <w:rFonts w:ascii="Times New Roman" w:eastAsia="Calibri" w:hAnsi="Times New Roman"/>
          <w:b/>
          <w:bCs/>
          <w:i/>
          <w:sz w:val="20"/>
          <w:szCs w:val="20"/>
        </w:rPr>
        <w:t>Keyword</w:t>
      </w:r>
      <w:r w:rsidR="00162B5B" w:rsidRPr="00A510E9">
        <w:rPr>
          <w:rFonts w:ascii="Times New Roman" w:eastAsia="Calibri" w:hAnsi="Times New Roman"/>
          <w:b/>
          <w:bCs/>
          <w:i/>
          <w:sz w:val="20"/>
          <w:szCs w:val="20"/>
        </w:rPr>
        <w:t>s:</w:t>
      </w:r>
      <w:r w:rsidR="00F158CA">
        <w:rPr>
          <w:rFonts w:ascii="Times New Roman" w:eastAsia="Calibri" w:hAnsi="Times New Roman"/>
          <w:b/>
          <w:bCs/>
          <w:i/>
          <w:sz w:val="20"/>
          <w:szCs w:val="20"/>
          <w:lang w:val="en-US"/>
        </w:rPr>
        <w:t xml:space="preserve"> Dispute Setllement Body, CPO, RED II, European Union, Indonesia</w:t>
      </w:r>
    </w:p>
    <w:p w14:paraId="27A4C3DC" w14:textId="77777777" w:rsidR="001B6D7D" w:rsidRPr="00A510E9" w:rsidRDefault="00A57AA4" w:rsidP="00C6393F">
      <w:pPr>
        <w:tabs>
          <w:tab w:val="left" w:pos="3630"/>
        </w:tabs>
        <w:spacing w:after="0" w:line="240" w:lineRule="auto"/>
        <w:ind w:left="851" w:right="849"/>
        <w:rPr>
          <w:rStyle w:val="hps"/>
          <w:rFonts w:ascii="Times New Roman" w:hAnsi="Times New Roman"/>
          <w:b/>
          <w:i/>
        </w:rPr>
      </w:pPr>
      <w:r w:rsidRPr="00A510E9">
        <w:rPr>
          <w:rFonts w:ascii="Times New Roman" w:hAnsi="Times New Roman"/>
          <w:b/>
          <w:i/>
        </w:rPr>
        <w:t xml:space="preserve"> </w:t>
      </w:r>
    </w:p>
    <w:p w14:paraId="76FAA65C" w14:textId="77777777" w:rsidR="0033404E" w:rsidRPr="00A510E9" w:rsidRDefault="0033404E" w:rsidP="0033404E">
      <w:pPr>
        <w:spacing w:after="0" w:line="240" w:lineRule="auto"/>
        <w:jc w:val="both"/>
        <w:rPr>
          <w:rFonts w:ascii="Times New Roman" w:hAnsi="Times New Roman"/>
          <w:color w:val="000000"/>
          <w:sz w:val="24"/>
          <w:szCs w:val="24"/>
        </w:rPr>
      </w:pPr>
    </w:p>
    <w:p w14:paraId="08CD16A7" w14:textId="77777777" w:rsidR="002D51EB" w:rsidRPr="00A510E9" w:rsidRDefault="002D51EB" w:rsidP="002D51EB">
      <w:pPr>
        <w:spacing w:after="0" w:line="240" w:lineRule="auto"/>
        <w:rPr>
          <w:rFonts w:ascii="Times New Roman" w:hAnsi="Times New Roman"/>
          <w:b/>
          <w:color w:val="000000"/>
          <w:sz w:val="24"/>
          <w:szCs w:val="24"/>
          <w:lang w:val="en-AU"/>
        </w:rPr>
      </w:pPr>
      <w:r w:rsidRPr="00A510E9">
        <w:rPr>
          <w:rFonts w:ascii="Times New Roman" w:hAnsi="Times New Roman"/>
          <w:b/>
          <w:color w:val="000000"/>
          <w:sz w:val="24"/>
          <w:szCs w:val="24"/>
        </w:rPr>
        <w:t>Pendahuluan</w:t>
      </w:r>
      <w:r w:rsidR="006F543A" w:rsidRPr="00A510E9">
        <w:rPr>
          <w:rFonts w:ascii="Times New Roman" w:hAnsi="Times New Roman"/>
          <w:b/>
          <w:color w:val="000000"/>
          <w:sz w:val="24"/>
          <w:szCs w:val="24"/>
          <w:lang w:val="en-AU"/>
        </w:rPr>
        <w:t xml:space="preserve"> </w:t>
      </w:r>
    </w:p>
    <w:p w14:paraId="2F649D16" w14:textId="37350752" w:rsidR="00C708B4" w:rsidRDefault="004725C7" w:rsidP="00D36CAA">
      <w:pPr>
        <w:tabs>
          <w:tab w:val="left" w:pos="851"/>
        </w:tabs>
        <w:spacing w:after="0" w:line="240" w:lineRule="auto"/>
        <w:ind w:firstLine="426"/>
        <w:jc w:val="both"/>
        <w:rPr>
          <w:rFonts w:ascii="Times New Roman" w:eastAsia="Calibri" w:hAnsi="Times New Roman"/>
          <w:color w:val="000000"/>
          <w:sz w:val="24"/>
          <w:szCs w:val="24"/>
          <w:lang w:val="en-US"/>
        </w:rPr>
      </w:pPr>
      <w:r w:rsidRPr="001A77D7">
        <w:rPr>
          <w:rFonts w:ascii="Times New Roman" w:eastAsia="Calibri" w:hAnsi="Times New Roman"/>
          <w:i/>
          <w:iCs/>
          <w:color w:val="000000"/>
          <w:sz w:val="24"/>
          <w:szCs w:val="24"/>
          <w:lang w:val="en-AU"/>
        </w:rPr>
        <w:t>Crude Palm Oil</w:t>
      </w:r>
      <w:r>
        <w:rPr>
          <w:rFonts w:ascii="Times New Roman" w:eastAsia="Calibri" w:hAnsi="Times New Roman"/>
          <w:color w:val="000000"/>
          <w:sz w:val="24"/>
          <w:szCs w:val="24"/>
          <w:lang w:val="en-AU"/>
        </w:rPr>
        <w:t xml:space="preserve"> (CPO)</w:t>
      </w:r>
      <w:r>
        <w:rPr>
          <w:rFonts w:ascii="Times New Roman" w:eastAsia="Calibri" w:hAnsi="Times New Roman"/>
          <w:color w:val="000000"/>
          <w:sz w:val="24"/>
          <w:szCs w:val="24"/>
          <w:lang w:val="en-US"/>
        </w:rPr>
        <w:t xml:space="preserve"> merupakan salah satu komoditas utama utama ekspor nonmigas Indonesia. Sebagai komoditas utama ekspor, CPO menghasilkan 3,5% GDP di tahun 2020 (Saputra, 2021). CPO Indonesia bahkan mendominasi 55% pasar sawit global, diikuti oleh Malaysia 28%, Thailand 14%, Kolombia 2%, dan Nigeria 1% di tahun 2020 (Setneg, 2020).</w:t>
      </w:r>
    </w:p>
    <w:p w14:paraId="7BFF632F" w14:textId="6AA93F51" w:rsidR="004725C7" w:rsidRPr="00FF4B85" w:rsidRDefault="004725C7" w:rsidP="00D36CAA">
      <w:pPr>
        <w:tabs>
          <w:tab w:val="left" w:pos="851"/>
        </w:tabs>
        <w:spacing w:after="0" w:line="240" w:lineRule="auto"/>
        <w:ind w:firstLine="426"/>
        <w:jc w:val="both"/>
        <w:rPr>
          <w:rFonts w:ascii="Times New Roman" w:hAnsi="Times New Roman"/>
          <w:color w:val="000000" w:themeColor="text1"/>
          <w:sz w:val="24"/>
          <w:szCs w:val="24"/>
          <w:lang w:val="en-US"/>
        </w:rPr>
      </w:pPr>
      <w:r w:rsidRPr="00160390">
        <w:rPr>
          <w:rFonts w:ascii="Times New Roman" w:hAnsi="Times New Roman"/>
          <w:color w:val="000000" w:themeColor="text1"/>
          <w:sz w:val="24"/>
          <w:szCs w:val="24"/>
        </w:rPr>
        <w:t>Volume ekspor CPO Indonesia ke pasar internasional selama periode 2010-2015 selalu mengalami peningkatan dari 16,2 juta ton di tahun 2010 dan 26,8 juta ton di tahun 2015. Namun di tahun 2016, mengalami penurunan. Setelah di tahun 2017-2019, ekspor CPO kembali mengalami peningkatan dan ekspor terbesar terjadi tahun 2019 sebesar 28 juta ton. Namun pada 2020, volume ekspor kembali mengalami penurunan.</w:t>
      </w:r>
      <w:r w:rsidR="00FF4B85">
        <w:rPr>
          <w:rFonts w:ascii="Times New Roman" w:hAnsi="Times New Roman"/>
          <w:color w:val="000000" w:themeColor="text1"/>
          <w:sz w:val="24"/>
          <w:szCs w:val="24"/>
          <w:lang w:val="en-US"/>
        </w:rPr>
        <w:t xml:space="preserve"> </w:t>
      </w:r>
      <w:r w:rsidRPr="00160390">
        <w:rPr>
          <w:rFonts w:ascii="Times New Roman" w:hAnsi="Times New Roman"/>
          <w:color w:val="000000" w:themeColor="text1"/>
          <w:sz w:val="24"/>
          <w:szCs w:val="24"/>
        </w:rPr>
        <w:t>Hasil produksi CPO Indonesia sebagian besar diekspor  ke luar dan sisanya dipasarkan di dalam negeri. Ekspor CPO Indonesia menjangkau benua Asia, Australia Amerika, dan Eropa. Negara tujuan utama ekspor CPO Indonesia adalah  India, UE, Tiongkok, dan Pakistan. Dari beberapa negara tujuan tersebut UE menjadi pengimpor terbesar nomor dua di dunia hal ini membuat UE menjadi penting untuk ekspor CPO Indonesia. Negara-negara anggota UE pengimpor terbesar CPO Indonesia adalah Belanda, Jerman, dan Portugal, Spanyol, Italia</w:t>
      </w:r>
      <w:r w:rsidR="00FF4B85">
        <w:rPr>
          <w:rFonts w:ascii="Times New Roman" w:hAnsi="Times New Roman"/>
          <w:color w:val="000000" w:themeColor="text1"/>
          <w:sz w:val="24"/>
          <w:szCs w:val="24"/>
          <w:lang w:val="en-US"/>
        </w:rPr>
        <w:t>.</w:t>
      </w:r>
      <w:r w:rsidR="009811C2">
        <w:rPr>
          <w:rFonts w:ascii="Times New Roman" w:hAnsi="Times New Roman"/>
          <w:color w:val="000000" w:themeColor="text1"/>
          <w:sz w:val="24"/>
          <w:szCs w:val="24"/>
          <w:lang w:val="en-US"/>
        </w:rPr>
        <w:t xml:space="preserve"> UE mengimpor CPO dari berbagai negara, tapi yang terbesar adalah </w:t>
      </w:r>
      <w:r w:rsidR="009811C2">
        <w:rPr>
          <w:rFonts w:ascii="Times New Roman" w:hAnsi="Times New Roman"/>
          <w:color w:val="000000" w:themeColor="text1"/>
          <w:sz w:val="24"/>
          <w:szCs w:val="24"/>
          <w:lang w:val="en-US"/>
        </w:rPr>
        <w:lastRenderedPageBreak/>
        <w:t>Indonesia, Malaysia, dan Thailand sebesar 63%. Sedangkan 26% berasal dari negara lain yaitu Amerika Latin (Copenhagen Economics, 2018).</w:t>
      </w:r>
    </w:p>
    <w:p w14:paraId="37D7D97C" w14:textId="70F09C35" w:rsidR="009811C2" w:rsidRDefault="009811C2" w:rsidP="00D36CAA">
      <w:pPr>
        <w:spacing w:after="0" w:line="240" w:lineRule="auto"/>
        <w:ind w:firstLine="426"/>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Tercatat v</w:t>
      </w:r>
      <w:r w:rsidR="00FF4B85">
        <w:rPr>
          <w:rFonts w:ascii="Times New Roman" w:hAnsi="Times New Roman"/>
          <w:color w:val="000000" w:themeColor="text1"/>
          <w:sz w:val="24"/>
          <w:szCs w:val="24"/>
        </w:rPr>
        <w:t>olume ekspor CPO Indonesia ke UE di tahun 2010 mencapai 4 juta ton. Meskipun pada tahun 2011 mengalami penurunan sekitar 3,8 juta ton akan tetapi di tahun setelah itu yaitu dari rentang tahun 2012-2017 mengalami peningkatan dan selalu mencapai rata-rata 4 juta ton. Bahkan di tahun 2016 volume ekspornya mencapai volume paling tinggi yaitu 4,3 juta ton</w:t>
      </w:r>
      <w:r w:rsidR="00987E34">
        <w:rPr>
          <w:rFonts w:ascii="Times New Roman" w:hAnsi="Times New Roman"/>
          <w:color w:val="000000" w:themeColor="text1"/>
          <w:sz w:val="24"/>
          <w:szCs w:val="24"/>
          <w:lang w:val="en-US"/>
        </w:rPr>
        <w:t xml:space="preserve">. </w:t>
      </w:r>
      <w:r w:rsidR="00987E34">
        <w:rPr>
          <w:rFonts w:ascii="Times New Roman" w:hAnsi="Times New Roman"/>
          <w:color w:val="000000" w:themeColor="text1"/>
          <w:sz w:val="24"/>
          <w:szCs w:val="24"/>
        </w:rPr>
        <w:t>Namun sejak tahun 2018 hingga 2020 terjadi penurunan yang cukup tajam yaitu hanya mencapai 3,8 juta ton dan terus menurun hingga 3,4 juta ton di tahun 2020</w:t>
      </w:r>
      <w:r w:rsidR="00987E34">
        <w:rPr>
          <w:rFonts w:ascii="Times New Roman" w:hAnsi="Times New Roman"/>
          <w:color w:val="000000" w:themeColor="text1"/>
          <w:sz w:val="24"/>
          <w:szCs w:val="24"/>
          <w:lang w:val="en-US"/>
        </w:rPr>
        <w:t xml:space="preserve"> </w:t>
      </w:r>
      <w:r w:rsidR="00FF4B85" w:rsidRPr="00160390">
        <w:rPr>
          <w:rFonts w:ascii="Times New Roman" w:hAnsi="Times New Roman"/>
          <w:color w:val="000000" w:themeColor="text1"/>
          <w:sz w:val="24"/>
          <w:szCs w:val="24"/>
        </w:rPr>
        <w:t>(BPS, 2020).</w:t>
      </w:r>
      <w:r w:rsidR="00987E34">
        <w:rPr>
          <w:rFonts w:ascii="Times New Roman" w:hAnsi="Times New Roman"/>
          <w:color w:val="000000" w:themeColor="text1"/>
          <w:sz w:val="24"/>
          <w:szCs w:val="24"/>
          <w:lang w:val="en-US"/>
        </w:rPr>
        <w:t xml:space="preserve"> </w:t>
      </w:r>
    </w:p>
    <w:p w14:paraId="3CE5218A" w14:textId="419FC046" w:rsidR="00B80241" w:rsidRDefault="00987E34" w:rsidP="00D36CAA">
      <w:pPr>
        <w:spacing w:after="0" w:line="240" w:lineRule="auto"/>
        <w:ind w:firstLine="426"/>
        <w:jc w:val="both"/>
        <w:rPr>
          <w:rFonts w:ascii="Times New Roman" w:hAnsi="Times New Roman"/>
          <w:sz w:val="24"/>
          <w:szCs w:val="24"/>
          <w:lang w:val="en-US"/>
        </w:rPr>
      </w:pPr>
      <w:r w:rsidRPr="00987E34">
        <w:rPr>
          <w:rFonts w:ascii="Times New Roman" w:hAnsi="Times New Roman"/>
          <w:color w:val="000000" w:themeColor="text1"/>
          <w:sz w:val="24"/>
          <w:szCs w:val="24"/>
          <w:lang w:val="en-US"/>
        </w:rPr>
        <w:t xml:space="preserve">Penurunan </w:t>
      </w:r>
      <w:r w:rsidRPr="00987E34">
        <w:rPr>
          <w:rFonts w:ascii="Times New Roman" w:hAnsi="Times New Roman"/>
          <w:color w:val="000000" w:themeColor="text1"/>
          <w:sz w:val="24"/>
          <w:szCs w:val="24"/>
        </w:rPr>
        <w:t xml:space="preserve">terjadi karena penerapan </w:t>
      </w:r>
      <w:r w:rsidRPr="00987E34">
        <w:rPr>
          <w:rStyle w:val="Emphasis"/>
          <w:rFonts w:ascii="Times New Roman" w:hAnsi="Times New Roman"/>
          <w:color w:val="000000" w:themeColor="text1"/>
          <w:sz w:val="24"/>
          <w:szCs w:val="24"/>
          <w:shd w:val="clear" w:color="auto" w:fill="FFFFFF"/>
        </w:rPr>
        <w:t>Renewable Energy Directive </w:t>
      </w:r>
      <w:r w:rsidRPr="00987E34">
        <w:rPr>
          <w:rFonts w:ascii="Times New Roman" w:hAnsi="Times New Roman"/>
          <w:color w:val="000000" w:themeColor="text1"/>
          <w:sz w:val="24"/>
          <w:szCs w:val="24"/>
          <w:shd w:val="clear" w:color="auto" w:fill="FFFFFF"/>
        </w:rPr>
        <w:t xml:space="preserve">(RED) II oleh UE pada tanggal 11 Desember 2018. Kebijakan ini merupakan revisi dari RED I yang dikeluarkan di tahun 2009 yang bertujuan menekan emisi gas rumah kaca </w:t>
      </w:r>
      <w:r w:rsidRPr="00987E34">
        <w:rPr>
          <w:rFonts w:ascii="Times New Roman" w:hAnsi="Times New Roman"/>
          <w:sz w:val="24"/>
          <w:szCs w:val="24"/>
        </w:rPr>
        <w:t>dengan meningkatkan konsumsi terhadap sumber energi terbarukan. Pada kebijakan RED II ini diharapkan negara anggota UE menggunakan energi terbarukan setidaknya 32% untuk tahun 2030</w:t>
      </w:r>
      <w:r>
        <w:rPr>
          <w:rFonts w:ascii="Times New Roman" w:hAnsi="Times New Roman"/>
          <w:sz w:val="24"/>
          <w:szCs w:val="24"/>
          <w:lang w:val="en-US"/>
        </w:rPr>
        <w:t xml:space="preserve"> (Rosediana, 2019).</w:t>
      </w:r>
      <w:r w:rsidR="006D7CFE">
        <w:rPr>
          <w:rFonts w:ascii="Times New Roman" w:hAnsi="Times New Roman"/>
          <w:sz w:val="24"/>
          <w:szCs w:val="24"/>
          <w:lang w:val="en-US"/>
        </w:rPr>
        <w:t xml:space="preserve"> </w:t>
      </w:r>
      <w:r w:rsidR="009811C2">
        <w:rPr>
          <w:rFonts w:ascii="Times New Roman" w:hAnsi="Times New Roman"/>
          <w:sz w:val="24"/>
          <w:szCs w:val="24"/>
          <w:lang w:val="en-US"/>
        </w:rPr>
        <w:t xml:space="preserve">Dalam RED II terdapat pedoman lanjutan yaitu Delegated Regulation yang mana dalam pedoman ini kelapa sawit menjadi satu-satunya minyak nabati yang memiliki risiko ILUC tinggi karena menyebabkan deforestasi. Hal tersebut membuat penggunaan CPO akan dikurangi bertahap hingga 0% di tahun 2030. Hal ini yang membuat Indonesia menganggap </w:t>
      </w:r>
      <w:r w:rsidR="0007686D">
        <w:rPr>
          <w:rFonts w:ascii="Times New Roman" w:hAnsi="Times New Roman"/>
          <w:sz w:val="24"/>
          <w:szCs w:val="24"/>
          <w:lang w:val="en-US"/>
        </w:rPr>
        <w:t xml:space="preserve">UE melakukan diskriminasi terhadap kelapa sawit. </w:t>
      </w:r>
    </w:p>
    <w:p w14:paraId="48FB303D" w14:textId="671C672B" w:rsidR="006D7CFE" w:rsidRDefault="00AF4289" w:rsidP="00D36CAA">
      <w:pPr>
        <w:spacing w:after="0" w:line="240" w:lineRule="auto"/>
        <w:ind w:firstLine="426"/>
        <w:jc w:val="both"/>
        <w:rPr>
          <w:rFonts w:ascii="Times New Roman" w:hAnsi="Times New Roman"/>
          <w:sz w:val="24"/>
          <w:szCs w:val="24"/>
          <w:lang w:val="en-US"/>
        </w:rPr>
      </w:pPr>
      <w:r w:rsidRPr="00F03EEC">
        <w:rPr>
          <w:rFonts w:ascii="Times New Roman" w:hAnsi="Times New Roman"/>
          <w:color w:val="000000" w:themeColor="text1"/>
          <w:sz w:val="24"/>
          <w:szCs w:val="24"/>
          <w:lang w:val="en-US"/>
        </w:rPr>
        <w:t>Indonesia sendiri telah melakukan berbagai upaya untuk kelapa sawit yang berkelanjutan sebelum adanya RED II sehingga bagi Indonesia kebijakan RED II ini merupakan diskriminasi terhadap kelapa sawit.</w:t>
      </w:r>
      <w:r w:rsidR="009811C2">
        <w:rPr>
          <w:rFonts w:ascii="Times New Roman" w:hAnsi="Times New Roman"/>
          <w:color w:val="000000" w:themeColor="text1"/>
          <w:sz w:val="24"/>
          <w:szCs w:val="24"/>
          <w:lang w:val="en-US"/>
        </w:rPr>
        <w:t xml:space="preserve"> Indonesia bahkan melakukan diplomasi </w:t>
      </w:r>
      <w:r w:rsidR="009811C2" w:rsidRPr="009811C2">
        <w:rPr>
          <w:rFonts w:ascii="Times New Roman" w:hAnsi="Times New Roman"/>
          <w:i/>
          <w:iCs/>
          <w:color w:val="000000" w:themeColor="text1"/>
          <w:sz w:val="24"/>
          <w:szCs w:val="24"/>
          <w:lang w:val="en-US"/>
        </w:rPr>
        <w:t>Joint Mission</w:t>
      </w:r>
      <w:r w:rsidR="009811C2">
        <w:rPr>
          <w:rFonts w:ascii="Times New Roman" w:hAnsi="Times New Roman"/>
          <w:color w:val="000000" w:themeColor="text1"/>
          <w:sz w:val="24"/>
          <w:szCs w:val="24"/>
          <w:lang w:val="en-US"/>
        </w:rPr>
        <w:t xml:space="preserve"> sawit ke UE akan tetapi tidak membuahkan hasil. </w:t>
      </w:r>
      <w:r>
        <w:rPr>
          <w:rFonts w:ascii="Times New Roman" w:hAnsi="Times New Roman"/>
          <w:color w:val="000000" w:themeColor="text1"/>
          <w:sz w:val="24"/>
          <w:szCs w:val="24"/>
          <w:lang w:val="en-US"/>
        </w:rPr>
        <w:t>Sehingga Indonesia membawa sengketa ini ke WTO karena UE dianggap mendiskriminasi CPO dan hal tersebut melanggar perjanjian dagang WTO. Artikel ini bertujuan untuk mendeskripsikan penyelesaian sengketa kelapa sawit Indonesia dan Uni Eropa di WTO.</w:t>
      </w:r>
    </w:p>
    <w:p w14:paraId="26C06A3C" w14:textId="77777777" w:rsidR="004725C7" w:rsidRPr="00BD07DA" w:rsidRDefault="004725C7" w:rsidP="00C36767">
      <w:pPr>
        <w:tabs>
          <w:tab w:val="left" w:pos="851"/>
        </w:tabs>
        <w:spacing w:after="0" w:line="240" w:lineRule="auto"/>
        <w:ind w:firstLine="720"/>
        <w:jc w:val="both"/>
        <w:rPr>
          <w:rFonts w:ascii="Times New Roman" w:eastAsia="Calibri" w:hAnsi="Times New Roman"/>
          <w:color w:val="000000"/>
          <w:sz w:val="24"/>
          <w:szCs w:val="24"/>
          <w:lang w:val="en-US"/>
        </w:rPr>
      </w:pPr>
    </w:p>
    <w:p w14:paraId="41EB1AAD" w14:textId="77777777" w:rsidR="002D51EB" w:rsidRPr="00A510E9" w:rsidRDefault="00A0410D" w:rsidP="002D51EB">
      <w:pPr>
        <w:spacing w:after="0" w:line="240" w:lineRule="auto"/>
        <w:jc w:val="both"/>
        <w:rPr>
          <w:rFonts w:ascii="Times New Roman" w:hAnsi="Times New Roman"/>
          <w:b/>
          <w:color w:val="000000"/>
          <w:sz w:val="24"/>
          <w:szCs w:val="24"/>
          <w:lang w:val="en-AU"/>
        </w:rPr>
      </w:pPr>
      <w:r w:rsidRPr="00A510E9">
        <w:rPr>
          <w:rFonts w:ascii="Times New Roman" w:hAnsi="Times New Roman"/>
          <w:b/>
          <w:color w:val="000000"/>
          <w:sz w:val="24"/>
          <w:szCs w:val="24"/>
          <w:lang w:val="en-AU"/>
        </w:rPr>
        <w:t>Kerangka Teori</w:t>
      </w:r>
      <w:r w:rsidR="00E9065F" w:rsidRPr="00A510E9">
        <w:rPr>
          <w:rFonts w:ascii="Times New Roman" w:hAnsi="Times New Roman"/>
          <w:b/>
          <w:color w:val="000000"/>
          <w:sz w:val="24"/>
          <w:szCs w:val="24"/>
          <w:lang w:val="en-AU"/>
        </w:rPr>
        <w:t xml:space="preserve"> </w:t>
      </w:r>
    </w:p>
    <w:p w14:paraId="7ABA4736" w14:textId="1D0F66EC" w:rsidR="00C708B4" w:rsidRPr="005F445F" w:rsidRDefault="00C708B4" w:rsidP="00ED08A4">
      <w:pPr>
        <w:spacing w:after="0" w:line="240" w:lineRule="auto"/>
        <w:jc w:val="both"/>
        <w:rPr>
          <w:rFonts w:ascii="Times New Roman" w:hAnsi="Times New Roman"/>
          <w:sz w:val="24"/>
          <w:szCs w:val="24"/>
          <w:lang w:val="en-US"/>
        </w:rPr>
      </w:pPr>
      <w:r w:rsidRPr="005F445F">
        <w:rPr>
          <w:rFonts w:ascii="Times New Roman" w:hAnsi="Times New Roman"/>
          <w:b/>
          <w:sz w:val="24"/>
          <w:szCs w:val="24"/>
        </w:rPr>
        <w:t xml:space="preserve">Konsep </w:t>
      </w:r>
      <w:r w:rsidR="00ED08A4">
        <w:rPr>
          <w:rFonts w:ascii="Times New Roman" w:hAnsi="Times New Roman"/>
          <w:b/>
          <w:sz w:val="24"/>
          <w:szCs w:val="24"/>
          <w:lang w:val="en-US"/>
        </w:rPr>
        <w:t>Penyelesaian Sengketa di WTO</w:t>
      </w:r>
    </w:p>
    <w:p w14:paraId="5174726D" w14:textId="77777777" w:rsidR="00EE7398" w:rsidRDefault="00EE7398" w:rsidP="00D36CAA">
      <w:pPr>
        <w:pStyle w:val="ListParagraph"/>
        <w:spacing w:line="240" w:lineRule="auto"/>
        <w:ind w:left="0" w:firstLine="426"/>
        <w:jc w:val="both"/>
        <w:rPr>
          <w:rFonts w:ascii="Times New Roman" w:hAnsi="Times New Roman"/>
          <w:sz w:val="24"/>
          <w:szCs w:val="24"/>
          <w:lang w:val="en-US"/>
        </w:rPr>
      </w:pPr>
      <w:r w:rsidRPr="00160390">
        <w:rPr>
          <w:rFonts w:ascii="Times New Roman" w:hAnsi="Times New Roman"/>
          <w:i/>
          <w:iCs/>
          <w:sz w:val="24"/>
          <w:szCs w:val="24"/>
        </w:rPr>
        <w:t>World Trade Organization</w:t>
      </w:r>
      <w:r w:rsidRPr="00160390">
        <w:rPr>
          <w:rFonts w:ascii="Times New Roman" w:hAnsi="Times New Roman"/>
          <w:sz w:val="24"/>
          <w:szCs w:val="24"/>
        </w:rPr>
        <w:t xml:space="preserve"> (WTO) merupakan organisasi internasional yang mengatur masalah perdagangan antar negara di dunia yang didirikan 1 Januari 1995. Sebelum WTO berdiri, sistem perdagangan internasional telah diatur di dalam </w:t>
      </w:r>
      <w:r w:rsidRPr="00160390">
        <w:rPr>
          <w:rFonts w:ascii="Times New Roman" w:hAnsi="Times New Roman"/>
          <w:i/>
          <w:iCs/>
          <w:sz w:val="24"/>
          <w:szCs w:val="24"/>
        </w:rPr>
        <w:t xml:space="preserve">General Agreement on Tariffs and Trade </w:t>
      </w:r>
      <w:r w:rsidRPr="00160390">
        <w:rPr>
          <w:rFonts w:ascii="Times New Roman" w:hAnsi="Times New Roman"/>
          <w:sz w:val="24"/>
          <w:szCs w:val="24"/>
        </w:rPr>
        <w:t xml:space="preserve">(GATT) di tahun 1948. </w:t>
      </w:r>
      <w:r w:rsidRPr="00160390">
        <w:rPr>
          <w:rFonts w:ascii="Times New Roman" w:hAnsi="Times New Roman"/>
          <w:color w:val="000000" w:themeColor="text1"/>
          <w:sz w:val="24"/>
          <w:szCs w:val="24"/>
        </w:rPr>
        <w:t xml:space="preserve">WTO memiliki dewan pemecahan konflik antar negara anggota atau </w:t>
      </w:r>
      <w:r w:rsidRPr="00160390">
        <w:rPr>
          <w:rFonts w:ascii="Times New Roman" w:hAnsi="Times New Roman"/>
          <w:i/>
          <w:iCs/>
          <w:color w:val="000000" w:themeColor="text1"/>
          <w:sz w:val="24"/>
          <w:szCs w:val="24"/>
        </w:rPr>
        <w:t>Dispute Settlement Body</w:t>
      </w:r>
      <w:r w:rsidRPr="00160390">
        <w:rPr>
          <w:rFonts w:ascii="Times New Roman" w:hAnsi="Times New Roman"/>
          <w:color w:val="000000" w:themeColor="text1"/>
          <w:sz w:val="24"/>
          <w:szCs w:val="24"/>
        </w:rPr>
        <w:t xml:space="preserve"> (DSB). Badan ini berperan penting dalam pemeliharan validitas serta menanamkan kebijakan-kebijakan  GATT dan perjanjian WTO</w:t>
      </w:r>
      <w:r w:rsidRPr="00160390">
        <w:rPr>
          <w:rFonts w:ascii="Times New Roman" w:hAnsi="Times New Roman"/>
          <w:i/>
          <w:iCs/>
          <w:color w:val="000000" w:themeColor="text1"/>
          <w:sz w:val="24"/>
          <w:szCs w:val="24"/>
        </w:rPr>
        <w:t>, Agreement Establishing the World Trade Organization</w:t>
      </w:r>
      <w:r w:rsidRPr="00160390">
        <w:rPr>
          <w:rFonts w:ascii="Times New Roman" w:hAnsi="Times New Roman"/>
          <w:sz w:val="24"/>
          <w:szCs w:val="24"/>
        </w:rPr>
        <w:t xml:space="preserve">. Pemecahan konflik atau sengketa di WTO ini dilakukan dengan cara-cara yang damai dan </w:t>
      </w:r>
      <w:r w:rsidRPr="00160390">
        <w:rPr>
          <w:rFonts w:ascii="Times New Roman" w:hAnsi="Times New Roman"/>
          <w:i/>
          <w:iCs/>
          <w:sz w:val="24"/>
          <w:szCs w:val="24"/>
        </w:rPr>
        <w:t>Dispute Settlement Body</w:t>
      </w:r>
      <w:r w:rsidRPr="00160390">
        <w:rPr>
          <w:rFonts w:ascii="Times New Roman" w:hAnsi="Times New Roman"/>
          <w:sz w:val="24"/>
          <w:szCs w:val="24"/>
        </w:rPr>
        <w:t xml:space="preserve"> sendiri telah dimasukkan kedalam aturan khusus WTO, yaitu the </w:t>
      </w:r>
      <w:r w:rsidRPr="00160390">
        <w:rPr>
          <w:rFonts w:ascii="Times New Roman" w:hAnsi="Times New Roman"/>
          <w:i/>
          <w:iCs/>
          <w:sz w:val="24"/>
          <w:szCs w:val="24"/>
        </w:rPr>
        <w:t xml:space="preserve">Dispute Settlement Understanding of the WTO Agreement </w:t>
      </w:r>
      <w:r w:rsidRPr="00160390">
        <w:rPr>
          <w:rFonts w:ascii="Times New Roman" w:hAnsi="Times New Roman"/>
          <w:sz w:val="24"/>
          <w:szCs w:val="24"/>
        </w:rPr>
        <w:t>(DSU).</w:t>
      </w:r>
      <w:r>
        <w:rPr>
          <w:rFonts w:ascii="Times New Roman" w:hAnsi="Times New Roman"/>
          <w:sz w:val="24"/>
          <w:szCs w:val="24"/>
          <w:lang w:val="en-US"/>
        </w:rPr>
        <w:t xml:space="preserve"> </w:t>
      </w:r>
    </w:p>
    <w:p w14:paraId="021C1147" w14:textId="60DE767D" w:rsidR="00EE7398" w:rsidRDefault="00EE7398" w:rsidP="00D36CAA">
      <w:pPr>
        <w:pStyle w:val="ListParagraph"/>
        <w:spacing w:line="240" w:lineRule="auto"/>
        <w:ind w:left="709" w:hanging="283"/>
        <w:jc w:val="both"/>
        <w:rPr>
          <w:rFonts w:ascii="Times New Roman" w:hAnsi="Times New Roman"/>
          <w:sz w:val="24"/>
          <w:szCs w:val="24"/>
          <w:lang w:val="en-US"/>
        </w:rPr>
      </w:pPr>
      <w:r>
        <w:rPr>
          <w:rFonts w:ascii="Times New Roman" w:hAnsi="Times New Roman"/>
          <w:sz w:val="24"/>
          <w:szCs w:val="24"/>
          <w:lang w:val="en-US"/>
        </w:rPr>
        <w:t>Adapun tahapan penyelesaian sengketa di WTO berdasarkan DSU yaitu:</w:t>
      </w:r>
    </w:p>
    <w:p w14:paraId="1ED2E176" w14:textId="09E509E3" w:rsidR="00EE7398" w:rsidRDefault="00EE7398" w:rsidP="00D36CAA">
      <w:pPr>
        <w:pStyle w:val="ListParagraph"/>
        <w:numPr>
          <w:ilvl w:val="0"/>
          <w:numId w:val="1"/>
        </w:numPr>
        <w:spacing w:after="0" w:line="240" w:lineRule="auto"/>
        <w:ind w:left="709"/>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Konsultasi</w:t>
      </w:r>
    </w:p>
    <w:p w14:paraId="32B8F8AC" w14:textId="256345D5" w:rsidR="00EE7398" w:rsidRDefault="00EE7398" w:rsidP="00D36CAA">
      <w:pPr>
        <w:pStyle w:val="ListParagraph"/>
        <w:spacing w:after="0" w:line="240" w:lineRule="auto"/>
        <w:ind w:left="709"/>
        <w:jc w:val="both"/>
        <w:rPr>
          <w:rFonts w:ascii="Times New Roman" w:hAnsi="Times New Roman"/>
          <w:color w:val="000000"/>
          <w:sz w:val="24"/>
          <w:szCs w:val="24"/>
          <w:lang w:val="en-US"/>
        </w:rPr>
      </w:pPr>
      <w:r w:rsidRPr="00EE7398">
        <w:rPr>
          <w:rFonts w:ascii="Times New Roman" w:hAnsi="Times New Roman"/>
          <w:color w:val="000000"/>
          <w:sz w:val="24"/>
          <w:szCs w:val="24"/>
        </w:rPr>
        <w:t>Konsultasi adalah prosedur paling awal yang sangat dianjurkan dalam DSU. Hal dilakukan oleh permintaan dari negara anggota yang dituduh melanggar ketentuan. Pada tahap konsultasi diperbolehkan untuk melibatkan pihak ketiga</w:t>
      </w:r>
      <w:r>
        <w:rPr>
          <w:rFonts w:ascii="Times New Roman" w:hAnsi="Times New Roman"/>
          <w:color w:val="000000"/>
          <w:sz w:val="24"/>
          <w:szCs w:val="24"/>
          <w:lang w:val="en-US"/>
        </w:rPr>
        <w:t xml:space="preserve"> dan rahasia.</w:t>
      </w:r>
    </w:p>
    <w:p w14:paraId="6C7ACAC0" w14:textId="237E1B8B" w:rsidR="00EE7398" w:rsidRPr="00EE7398" w:rsidRDefault="00EE7398" w:rsidP="00D36CAA">
      <w:pPr>
        <w:pStyle w:val="ListParagraph"/>
        <w:spacing w:after="0" w:line="240" w:lineRule="auto"/>
        <w:ind w:left="709"/>
        <w:jc w:val="both"/>
        <w:rPr>
          <w:rFonts w:ascii="Times New Roman" w:hAnsi="Times New Roman"/>
          <w:color w:val="000000" w:themeColor="text1"/>
          <w:sz w:val="24"/>
          <w:szCs w:val="24"/>
          <w:lang w:val="en-US"/>
        </w:rPr>
      </w:pPr>
      <w:r w:rsidRPr="00EE7398">
        <w:rPr>
          <w:rFonts w:ascii="Times New Roman" w:hAnsi="Times New Roman"/>
          <w:color w:val="000000" w:themeColor="text1"/>
          <w:sz w:val="24"/>
          <w:szCs w:val="24"/>
        </w:rPr>
        <w:lastRenderedPageBreak/>
        <w:t>Apabila tahapan konsultasi ini gagal untuk menyelesaikan perselisihan dalam jangka 60 hari. Pihak yang mengajukan dapat meminta untuk pembentukan panel (Pasal 4 ayat 7 DSU).</w:t>
      </w:r>
    </w:p>
    <w:p w14:paraId="25864C47" w14:textId="413E653D" w:rsidR="00EE7398" w:rsidRPr="00EE7398" w:rsidRDefault="00EE7398" w:rsidP="00D36CAA">
      <w:pPr>
        <w:pStyle w:val="ListParagraph"/>
        <w:numPr>
          <w:ilvl w:val="0"/>
          <w:numId w:val="1"/>
        </w:numPr>
        <w:spacing w:after="0" w:line="240" w:lineRule="auto"/>
        <w:ind w:left="709"/>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Jasa Baik, Konsoliasi, dan Mediasi</w:t>
      </w:r>
    </w:p>
    <w:p w14:paraId="28FD9432" w14:textId="7C679455" w:rsidR="00EE7398" w:rsidRDefault="00EE7398" w:rsidP="00D36CAA">
      <w:pPr>
        <w:pStyle w:val="NormalWeb"/>
        <w:spacing w:before="0" w:after="0"/>
        <w:ind w:left="709"/>
        <w:jc w:val="both"/>
        <w:rPr>
          <w:color w:val="000000"/>
        </w:rPr>
      </w:pPr>
      <w:r w:rsidRPr="00160390">
        <w:rPr>
          <w:color w:val="000000"/>
        </w:rPr>
        <w:t xml:space="preserve">Prosedur ini </w:t>
      </w:r>
      <w:r>
        <w:rPr>
          <w:color w:val="000000"/>
        </w:rPr>
        <w:t xml:space="preserve">adalah bagian dari jenis konsultasi yang </w:t>
      </w:r>
      <w:r w:rsidRPr="00160390">
        <w:rPr>
          <w:color w:val="000000"/>
        </w:rPr>
        <w:t>dilakukan secara sukarela jika semua pihak yang bersengketa setuju. Pada proses jasa baik, konsiliasi atau mediasi harus bersifat rahasia, dan tanpa mengurangi hak salah satu pihak dalam proses prosedur ini. Prosedur ini bisa dapat diminta setiap saat oleh pihak yang bersengketa, dapat dimulai kapan saja dan diakhiri kapan saja (Pasal 5 ayat 1, 2, 3 DSU).</w:t>
      </w:r>
    </w:p>
    <w:p w14:paraId="2CB2776B" w14:textId="6B0CDA53" w:rsidR="0022562B" w:rsidRDefault="0022562B" w:rsidP="00D36CAA">
      <w:pPr>
        <w:pStyle w:val="NormalWeb"/>
        <w:numPr>
          <w:ilvl w:val="0"/>
          <w:numId w:val="1"/>
        </w:numPr>
        <w:spacing w:before="0" w:after="0"/>
        <w:ind w:left="709"/>
        <w:jc w:val="both"/>
        <w:rPr>
          <w:color w:val="000000"/>
        </w:rPr>
      </w:pPr>
      <w:r>
        <w:rPr>
          <w:color w:val="000000"/>
        </w:rPr>
        <w:t>Panel</w:t>
      </w:r>
    </w:p>
    <w:p w14:paraId="6A66641A" w14:textId="54142547" w:rsidR="0022562B" w:rsidRDefault="0022562B" w:rsidP="00D36CAA">
      <w:pPr>
        <w:pStyle w:val="NormalWeb"/>
        <w:spacing w:before="0" w:after="0"/>
        <w:ind w:left="709"/>
        <w:jc w:val="both"/>
        <w:rPr>
          <w:color w:val="000000"/>
        </w:rPr>
      </w:pPr>
      <w:r w:rsidRPr="00160390">
        <w:rPr>
          <w:color w:val="000000"/>
        </w:rPr>
        <w:t xml:space="preserve">Panel memiliki fungsi untuk membantu DSB melaksanakan tanggung jawabnya untuk menyelesaikan sengketa. Melalui panel, bisa melakukan penilaian terhadap sengketa secara obejektif dan menguraikan pokok sengketa apakah bertentangan atau tidak dengan perjanjian WTO. Dengan hal tersebut maka DSB dapat merumuskan rekomendasi atau putusan. Panel harus berkonsultasi secara rutin dengan semua pihak untuk memberikan kesempatan yang sama agar menghasilkan suatu solusi yang saling memuaskan para pihak. </w:t>
      </w:r>
    </w:p>
    <w:p w14:paraId="273F6A97" w14:textId="3460FD96" w:rsidR="0022562B" w:rsidRDefault="00715DD7" w:rsidP="00D36CAA">
      <w:pPr>
        <w:pStyle w:val="NormalWeb"/>
        <w:spacing w:before="0" w:after="0"/>
        <w:ind w:left="709"/>
        <w:jc w:val="both"/>
        <w:rPr>
          <w:color w:val="000000"/>
        </w:rPr>
      </w:pPr>
      <w:r>
        <w:rPr>
          <w:color w:val="000000"/>
        </w:rPr>
        <w:t>Panel harus terdiri antara 3 atau 5 panelis yang berasal dari pemerintah atau non-pemerintahan  yang telah terkualifikasi baik. Biasanya anggota panel adalah diplomat, ahli ekonomim dan ahli pada bidang perdagangan internasional (DSU pasal 8).</w:t>
      </w:r>
    </w:p>
    <w:p w14:paraId="2E2B19EA" w14:textId="0A701DE0" w:rsidR="0022562B" w:rsidRPr="0022562B" w:rsidRDefault="0022562B" w:rsidP="00D36CAA">
      <w:pPr>
        <w:pStyle w:val="NormalWeb"/>
        <w:numPr>
          <w:ilvl w:val="0"/>
          <w:numId w:val="1"/>
        </w:numPr>
        <w:spacing w:before="0" w:after="0"/>
        <w:ind w:left="709"/>
        <w:jc w:val="both"/>
      </w:pPr>
      <w:r>
        <w:rPr>
          <w:color w:val="000000"/>
        </w:rPr>
        <w:t xml:space="preserve">Badan Banding </w:t>
      </w:r>
      <w:r w:rsidRPr="0022562B">
        <w:rPr>
          <w:i/>
          <w:iCs/>
          <w:color w:val="000000"/>
        </w:rPr>
        <w:t>(Appellate Body</w:t>
      </w:r>
      <w:r>
        <w:rPr>
          <w:color w:val="000000"/>
        </w:rPr>
        <w:t>)</w:t>
      </w:r>
    </w:p>
    <w:p w14:paraId="0A36BFB1" w14:textId="1F515AFC" w:rsidR="0022562B" w:rsidRDefault="0022562B" w:rsidP="00D36CAA">
      <w:pPr>
        <w:pStyle w:val="NormalWeb"/>
        <w:spacing w:before="0" w:after="0"/>
        <w:ind w:left="709"/>
        <w:jc w:val="both"/>
        <w:rPr>
          <w:color w:val="000000"/>
        </w:rPr>
      </w:pPr>
      <w:r w:rsidRPr="00160390">
        <w:rPr>
          <w:color w:val="000000"/>
        </w:rPr>
        <w:t>Banding dilakukan apabila keputusan dari panel masih diperdebatkan oleh negara yang bersengketa dan waktu yang diberikan maksimal 90 hari sejak keputusan panel dikeluarkan</w:t>
      </w:r>
      <w:r>
        <w:rPr>
          <w:color w:val="000000"/>
        </w:rPr>
        <w:t>.</w:t>
      </w:r>
    </w:p>
    <w:p w14:paraId="0F1C291A" w14:textId="5ED3E4B1" w:rsidR="0022562B" w:rsidRPr="00715DD7" w:rsidRDefault="0022562B" w:rsidP="00D36CAA">
      <w:pPr>
        <w:pStyle w:val="NormalWeb"/>
        <w:numPr>
          <w:ilvl w:val="0"/>
          <w:numId w:val="1"/>
        </w:numPr>
        <w:spacing w:before="0" w:after="0"/>
        <w:ind w:left="709"/>
        <w:jc w:val="both"/>
      </w:pPr>
      <w:r>
        <w:rPr>
          <w:color w:val="000000"/>
        </w:rPr>
        <w:t>Pengawasan Implementasi</w:t>
      </w:r>
    </w:p>
    <w:p w14:paraId="01F93FE8" w14:textId="59BE1128" w:rsidR="00715DD7" w:rsidRPr="0022562B" w:rsidRDefault="00715DD7" w:rsidP="00D36CAA">
      <w:pPr>
        <w:pStyle w:val="NormalWeb"/>
        <w:spacing w:before="0" w:after="0"/>
        <w:ind w:left="709"/>
        <w:jc w:val="both"/>
      </w:pPr>
      <w:r>
        <w:rPr>
          <w:color w:val="000000"/>
        </w:rPr>
        <w:t xml:space="preserve">Pengawasan implementasi adalah tahap akhir dari penyelesaian sengketa di WTO karena rekomendasi atau laporan dari panel atau badan banding wajib diimplementasikan </w:t>
      </w:r>
      <w:r w:rsidR="00F8454A">
        <w:rPr>
          <w:color w:val="000000"/>
        </w:rPr>
        <w:t>oleh negara pelanggar. Pengawasan implementasi  dilakukan dalam jangka waktu 30 hari sejak pengadopsian oleh DSB, dan negara yang diwajibkan melaksanakan implementasi dan negara yang bersangkutan bisa meminta perpanjangan waktu pelaksanaan yang wajar asal tidak melebihi lebih 15 bulan (Pasal 21 ayat 3 dan 4 DSU).</w:t>
      </w:r>
    </w:p>
    <w:p w14:paraId="6138EC3A" w14:textId="77777777" w:rsidR="004E6368" w:rsidRPr="00A510E9" w:rsidRDefault="004E6368" w:rsidP="00BD4284">
      <w:pPr>
        <w:spacing w:after="0" w:line="240" w:lineRule="auto"/>
        <w:ind w:firstLine="709"/>
        <w:jc w:val="both"/>
        <w:rPr>
          <w:rFonts w:ascii="Times New Roman" w:hAnsi="Times New Roman"/>
          <w:b/>
          <w:i/>
          <w:color w:val="000000"/>
          <w:sz w:val="24"/>
          <w:szCs w:val="24"/>
          <w:lang w:val="en-AU"/>
        </w:rPr>
      </w:pPr>
    </w:p>
    <w:p w14:paraId="5FCB69C0" w14:textId="77777777" w:rsidR="002D51EB" w:rsidRPr="00A510E9" w:rsidRDefault="00A53DC8" w:rsidP="002D51EB">
      <w:pPr>
        <w:spacing w:after="0" w:line="240" w:lineRule="auto"/>
        <w:ind w:left="-18"/>
        <w:jc w:val="both"/>
        <w:rPr>
          <w:rFonts w:ascii="Times New Roman" w:hAnsi="Times New Roman"/>
          <w:b/>
          <w:color w:val="000000"/>
          <w:sz w:val="24"/>
          <w:szCs w:val="24"/>
          <w:lang w:val="en-US"/>
        </w:rPr>
      </w:pPr>
      <w:r>
        <w:rPr>
          <w:rFonts w:ascii="Times New Roman" w:hAnsi="Times New Roman"/>
          <w:b/>
          <w:color w:val="000000"/>
          <w:sz w:val="24"/>
          <w:szCs w:val="24"/>
          <w:lang w:val="en-US"/>
        </w:rPr>
        <w:t>Metode</w:t>
      </w:r>
    </w:p>
    <w:p w14:paraId="19A4CE2F" w14:textId="64ED32A0" w:rsidR="005F445F" w:rsidRDefault="00F8454A" w:rsidP="00D36CAA">
      <w:pPr>
        <w:spacing w:after="0" w:line="240" w:lineRule="auto"/>
        <w:ind w:left="-18" w:firstLine="444"/>
        <w:jc w:val="both"/>
        <w:rPr>
          <w:rFonts w:ascii="Times New Roman" w:hAnsi="Times New Roman"/>
          <w:sz w:val="24"/>
          <w:szCs w:val="24"/>
          <w:lang w:val="en-US"/>
        </w:rPr>
      </w:pPr>
      <w:r>
        <w:rPr>
          <w:rFonts w:ascii="Times New Roman" w:hAnsi="Times New Roman"/>
          <w:sz w:val="24"/>
          <w:szCs w:val="24"/>
          <w:lang w:val="en-US"/>
        </w:rPr>
        <w:t>Penelitian ini menggunakan jenis penelitian deskriptif</w:t>
      </w:r>
      <w:r w:rsidR="00416C7B">
        <w:rPr>
          <w:rFonts w:ascii="Times New Roman" w:hAnsi="Times New Roman"/>
          <w:sz w:val="24"/>
          <w:szCs w:val="24"/>
          <w:lang w:val="en-US"/>
        </w:rPr>
        <w:t xml:space="preserve"> yaitu mendeskripsikan penyelesaian sengketa kelapa sawit Indonesia – Uni Eropa di WTO yang dimulai pada 9 Desember 2019</w:t>
      </w:r>
      <w:r w:rsidR="005F445F">
        <w:rPr>
          <w:rFonts w:ascii="Times New Roman" w:hAnsi="Times New Roman"/>
          <w:sz w:val="24"/>
          <w:szCs w:val="24"/>
          <w:lang w:val="en-US"/>
        </w:rPr>
        <w:t>.</w:t>
      </w:r>
      <w:r w:rsidR="008C0EAE">
        <w:rPr>
          <w:rFonts w:ascii="Times New Roman" w:hAnsi="Times New Roman"/>
          <w:sz w:val="24"/>
          <w:szCs w:val="24"/>
          <w:lang w:val="en-US"/>
        </w:rPr>
        <w:t xml:space="preserve"> </w:t>
      </w:r>
      <w:r w:rsidR="00416C7B">
        <w:rPr>
          <w:rFonts w:ascii="Times New Roman" w:hAnsi="Times New Roman"/>
          <w:sz w:val="24"/>
          <w:szCs w:val="24"/>
          <w:lang w:val="en-US"/>
        </w:rPr>
        <w:t xml:space="preserve"> Teknik pengumpulan data menggunakan studi kepustakaan yang didapat dari data primer dan sekunder dari buku, jurnal ilmiah, artikel, skripsi, serta situs resmi WTO, pemerintah Indonesia, Badan Statistik, dan </w:t>
      </w:r>
      <w:r w:rsidR="00416C7B" w:rsidRPr="00416C7B">
        <w:rPr>
          <w:rFonts w:ascii="Times New Roman" w:hAnsi="Times New Roman"/>
          <w:i/>
          <w:iCs/>
          <w:sz w:val="24"/>
          <w:szCs w:val="24"/>
          <w:lang w:val="en-US"/>
        </w:rPr>
        <w:t>European Comission</w:t>
      </w:r>
      <w:r w:rsidR="00416C7B">
        <w:rPr>
          <w:rFonts w:ascii="Times New Roman" w:hAnsi="Times New Roman"/>
          <w:sz w:val="24"/>
          <w:szCs w:val="24"/>
          <w:lang w:val="en-US"/>
        </w:rPr>
        <w:t>. Teknik analisis data kualitatif</w:t>
      </w:r>
      <w:r w:rsidR="008C0EAE">
        <w:rPr>
          <w:rFonts w:ascii="Times New Roman" w:hAnsi="Times New Roman"/>
          <w:sz w:val="24"/>
          <w:szCs w:val="24"/>
          <w:lang w:val="en-US"/>
        </w:rPr>
        <w:t xml:space="preserve"> model Miles dan Huberman. </w:t>
      </w:r>
    </w:p>
    <w:p w14:paraId="11F41E6C" w14:textId="77777777" w:rsidR="00416C7B" w:rsidRDefault="00416C7B" w:rsidP="007B298F">
      <w:pPr>
        <w:spacing w:after="0" w:line="240" w:lineRule="auto"/>
        <w:ind w:left="-18" w:firstLine="738"/>
        <w:jc w:val="both"/>
        <w:rPr>
          <w:rFonts w:ascii="Times New Roman" w:hAnsi="Times New Roman"/>
          <w:sz w:val="24"/>
          <w:szCs w:val="24"/>
          <w:lang w:val="en-US"/>
        </w:rPr>
      </w:pPr>
    </w:p>
    <w:p w14:paraId="628695F9" w14:textId="23C36286" w:rsidR="007B298F" w:rsidRDefault="00E9065F" w:rsidP="00DA1A6A">
      <w:pPr>
        <w:spacing w:after="0" w:line="240" w:lineRule="auto"/>
        <w:jc w:val="both"/>
        <w:rPr>
          <w:rFonts w:ascii="Times New Roman" w:hAnsi="Times New Roman"/>
          <w:b/>
          <w:color w:val="000000"/>
          <w:sz w:val="24"/>
          <w:szCs w:val="24"/>
          <w:lang w:val="en-AU"/>
        </w:rPr>
      </w:pPr>
      <w:r w:rsidRPr="00A510E9">
        <w:rPr>
          <w:rFonts w:ascii="Times New Roman" w:hAnsi="Times New Roman"/>
          <w:b/>
          <w:color w:val="000000"/>
          <w:sz w:val="24"/>
          <w:szCs w:val="24"/>
          <w:lang w:val="en-AU"/>
        </w:rPr>
        <w:t>Hasil dan Pembahasan</w:t>
      </w:r>
    </w:p>
    <w:p w14:paraId="19A76B86" w14:textId="12CE0C2A" w:rsidR="00BD07DA" w:rsidRDefault="00BD07DA" w:rsidP="0007686D">
      <w:pPr>
        <w:spacing w:after="0" w:line="240" w:lineRule="auto"/>
        <w:jc w:val="both"/>
        <w:rPr>
          <w:rFonts w:ascii="Times New Roman" w:hAnsi="Times New Roman"/>
          <w:b/>
          <w:color w:val="000000"/>
          <w:sz w:val="24"/>
          <w:szCs w:val="24"/>
          <w:lang w:val="en-AU"/>
        </w:rPr>
      </w:pPr>
      <w:r>
        <w:rPr>
          <w:rFonts w:ascii="Times New Roman" w:hAnsi="Times New Roman"/>
          <w:b/>
          <w:color w:val="000000"/>
          <w:sz w:val="24"/>
          <w:szCs w:val="24"/>
          <w:lang w:val="en-AU"/>
        </w:rPr>
        <w:t>Pasar CPO Indonesia di UE</w:t>
      </w:r>
    </w:p>
    <w:p w14:paraId="630A943F" w14:textId="0AF7E339" w:rsidR="00A9280D" w:rsidRPr="00AD62D7" w:rsidRDefault="00392272" w:rsidP="0007686D">
      <w:pPr>
        <w:spacing w:after="0" w:line="240" w:lineRule="auto"/>
        <w:ind w:firstLine="425"/>
        <w:jc w:val="both"/>
        <w:rPr>
          <w:rFonts w:ascii="Times New Roman" w:hAnsi="Times New Roman"/>
          <w:sz w:val="24"/>
          <w:szCs w:val="24"/>
          <w:lang w:val="en-US"/>
        </w:rPr>
        <w:sectPr w:rsidR="00A9280D" w:rsidRPr="00AD62D7" w:rsidSect="00AD62D7">
          <w:headerReference w:type="even" r:id="rId8"/>
          <w:headerReference w:type="default" r:id="rId9"/>
          <w:footerReference w:type="even" r:id="rId10"/>
          <w:footerReference w:type="default" r:id="rId11"/>
          <w:pgSz w:w="11906" w:h="16838" w:code="9"/>
          <w:pgMar w:top="1701" w:right="1701" w:bottom="1701" w:left="1701" w:header="720" w:footer="720" w:gutter="0"/>
          <w:pgNumType w:start="77"/>
          <w:cols w:space="720"/>
          <w:docGrid w:linePitch="360"/>
        </w:sectPr>
      </w:pPr>
      <w:bookmarkStart w:id="0" w:name="_Hlk122949114"/>
      <w:r w:rsidRPr="00160390">
        <w:rPr>
          <w:rFonts w:ascii="Times New Roman" w:hAnsi="Times New Roman"/>
          <w:sz w:val="24"/>
          <w:szCs w:val="24"/>
        </w:rPr>
        <w:t>CPO Indonesia merupakan komoditas yang mempunyai peranan penting dalam pertumbuhan ekonomi Indonesia. CPO dianggap sebagai komoditas unggulan dimana peran CPO cenderung mengalami peningkatan setiap tahunnya sejak tahun 2008</w:t>
      </w:r>
      <w:r>
        <w:rPr>
          <w:rFonts w:ascii="Times New Roman" w:hAnsi="Times New Roman"/>
          <w:sz w:val="24"/>
          <w:szCs w:val="24"/>
          <w:lang w:val="en-US"/>
        </w:rPr>
        <w:t xml:space="preserve">. </w:t>
      </w:r>
      <w:r w:rsidRPr="00160390">
        <w:rPr>
          <w:rFonts w:ascii="Times New Roman" w:hAnsi="Times New Roman"/>
          <w:sz w:val="24"/>
          <w:szCs w:val="24"/>
        </w:rPr>
        <w:t>CPO</w:t>
      </w:r>
    </w:p>
    <w:p w14:paraId="4F0C8560" w14:textId="2D26B21B" w:rsidR="00392272" w:rsidRDefault="00392272" w:rsidP="00A9280D">
      <w:pPr>
        <w:spacing w:after="0" w:line="240" w:lineRule="auto"/>
        <w:jc w:val="both"/>
        <w:rPr>
          <w:rFonts w:ascii="Times New Roman" w:hAnsi="Times New Roman"/>
          <w:sz w:val="24"/>
          <w:szCs w:val="24"/>
        </w:rPr>
      </w:pPr>
      <w:r w:rsidRPr="00160390">
        <w:rPr>
          <w:rFonts w:ascii="Times New Roman" w:hAnsi="Times New Roman"/>
          <w:sz w:val="24"/>
          <w:szCs w:val="24"/>
        </w:rPr>
        <w:lastRenderedPageBreak/>
        <w:t>Indonesia diusahakan dan diproduksi oleh tiga jenis perkebunan yaitu dari perkebunan rakyat, perkebunan swasta, dan perkebunan negara. Dengan adanya tiga jenis ini maka luas lahan dan produksi untuk CPO setiap tahunnya mengalami peningkatan (BPS, 2021).</w:t>
      </w:r>
    </w:p>
    <w:p w14:paraId="4697BBD1" w14:textId="11FDFC43" w:rsidR="00392272" w:rsidRPr="00392272" w:rsidRDefault="00392272" w:rsidP="0007686D">
      <w:pPr>
        <w:spacing w:after="0" w:line="240" w:lineRule="auto"/>
        <w:ind w:firstLine="425"/>
        <w:jc w:val="both"/>
        <w:rPr>
          <w:rFonts w:ascii="Times New Roman" w:hAnsi="Times New Roman"/>
          <w:sz w:val="24"/>
          <w:szCs w:val="24"/>
        </w:rPr>
      </w:pPr>
      <w:r>
        <w:rPr>
          <w:rFonts w:ascii="Times New Roman" w:hAnsi="Times New Roman"/>
          <w:sz w:val="24"/>
          <w:szCs w:val="24"/>
          <w:lang w:val="en-US"/>
        </w:rPr>
        <w:t xml:space="preserve">Produksi sawit paling tajam terjadi di </w:t>
      </w:r>
      <w:r w:rsidRPr="00160390">
        <w:rPr>
          <w:rFonts w:ascii="Times New Roman" w:hAnsi="Times New Roman"/>
          <w:sz w:val="24"/>
          <w:szCs w:val="24"/>
        </w:rPr>
        <w:t>di tahun 2018-2019. Pada tahun 2019 sebesar 63,79% dari produksi CPO</w:t>
      </w:r>
      <w:r w:rsidRPr="00160390">
        <w:rPr>
          <w:rFonts w:ascii="Times New Roman" w:hAnsi="Times New Roman"/>
          <w:color w:val="000000" w:themeColor="text1"/>
          <w:sz w:val="24"/>
          <w:szCs w:val="24"/>
        </w:rPr>
        <w:t xml:space="preserve"> atau 30,06 juta ton CPO berasal dari perkebunan besar swasta, sebesar 31,68% atau 14,93 juta ton dari perkebunan rakyat dan sisanya 4,53% atau 2,13 juta ton berasal dari perkebunan besar negara</w:t>
      </w:r>
      <w:r w:rsidRPr="00392272">
        <w:rPr>
          <w:rFonts w:ascii="Times New Roman" w:hAnsi="Times New Roman"/>
          <w:color w:val="000000" w:themeColor="text1"/>
          <w:sz w:val="24"/>
          <w:szCs w:val="24"/>
        </w:rPr>
        <w:t xml:space="preserve"> (BPS, 2020).</w:t>
      </w:r>
    </w:p>
    <w:p w14:paraId="7F153134" w14:textId="02F012C3" w:rsidR="0007686D" w:rsidRDefault="0007686D" w:rsidP="0007686D">
      <w:pPr>
        <w:spacing w:after="0" w:line="240" w:lineRule="auto"/>
        <w:ind w:firstLine="425"/>
        <w:jc w:val="both"/>
        <w:rPr>
          <w:rFonts w:ascii="Times New Roman" w:hAnsi="Times New Roman"/>
          <w:color w:val="000000" w:themeColor="text1"/>
          <w:sz w:val="24"/>
          <w:szCs w:val="24"/>
        </w:rPr>
      </w:pPr>
      <w:r w:rsidRPr="0007686D">
        <w:rPr>
          <w:rFonts w:ascii="Times New Roman" w:hAnsi="Times New Roman"/>
          <w:color w:val="000000" w:themeColor="text1"/>
          <w:sz w:val="24"/>
          <w:szCs w:val="24"/>
        </w:rPr>
        <w:t>Produktivas kelapa sawit yang besar di Indonesia dan segala potensinya  sampai saat ini juga masih memiliki beberapa permasalahan dari beberapa aspek.</w:t>
      </w:r>
      <w:r w:rsidRPr="00392272">
        <w:rPr>
          <w:rFonts w:ascii="Times New Roman" w:hAnsi="Times New Roman"/>
          <w:color w:val="000000" w:themeColor="text1"/>
          <w:sz w:val="24"/>
          <w:szCs w:val="24"/>
        </w:rPr>
        <w:t xml:space="preserve"> </w:t>
      </w:r>
      <w:r w:rsidRPr="0007686D">
        <w:rPr>
          <w:rFonts w:ascii="Times New Roman" w:hAnsi="Times New Roman"/>
          <w:color w:val="000000" w:themeColor="text1"/>
          <w:sz w:val="24"/>
          <w:szCs w:val="24"/>
        </w:rPr>
        <w:t>Pertama dalam aspek politik di mana kebijakan fiskal dan perizinan investasi untuk pengembangan perkebunan kelapa sawit masih sering mengalami perubahan kebijakan sesuai kebijakan pejabat yang ada. Terlebih yang ada di daerah, kebijakan fiskal dan perizinan menjadi sarana jual beli sehingga menciptakan korupsi. Kedua aspek ekonomi dimana ada kesenjangan pendapatan antara petani kecil dengan perkebunan kelapa sawit. Ketiga, aspek sosial budaya adalah deforestasi hutan yang besar karena ekspansi perkebunan kelapa sawit dan pengelolaan kelapa sawit yang masih tidak sesuai standar sehingga merusak tanah karena masih longgarnya kebijaakan pemerintah terkait hal tersebut. Terakhir dalam aspek pertahanan keamanan, konflik tanah menjadi masalah utama di sektor kelapa sawit. Sering adanya kasus tumpang tindih lahan sehingga menciptakan konflik (Andilala &amp; Ardiansyah, 2021).</w:t>
      </w:r>
    </w:p>
    <w:p w14:paraId="4F26F57A" w14:textId="57C358A6" w:rsidR="00392272" w:rsidRPr="0007686D" w:rsidRDefault="00392272" w:rsidP="00D36CAA">
      <w:pPr>
        <w:spacing w:after="0" w:line="240" w:lineRule="auto"/>
        <w:ind w:firstLine="426"/>
        <w:jc w:val="both"/>
        <w:rPr>
          <w:rFonts w:ascii="Times New Roman" w:hAnsi="Times New Roman"/>
          <w:color w:val="000000" w:themeColor="text1"/>
          <w:sz w:val="24"/>
          <w:szCs w:val="24"/>
        </w:rPr>
      </w:pPr>
      <w:r>
        <w:rPr>
          <w:rFonts w:ascii="Times New Roman" w:hAnsi="Times New Roman"/>
          <w:color w:val="000000" w:themeColor="text1"/>
          <w:sz w:val="24"/>
          <w:szCs w:val="24"/>
        </w:rPr>
        <w:t>Meskipun kelapa sawit Indonesia memiliki berbagai masalah, kelapa sawit tetap menjadi komoditas yang memiliki peran penting dalam pertumbuhan ekonomi Indonesia</w:t>
      </w:r>
      <w:r w:rsidRPr="00392272">
        <w:rPr>
          <w:rFonts w:ascii="Times New Roman" w:hAnsi="Times New Roman"/>
          <w:color w:val="000000" w:themeColor="text1"/>
          <w:sz w:val="24"/>
          <w:szCs w:val="24"/>
        </w:rPr>
        <w:t>.</w:t>
      </w:r>
      <w:r>
        <w:rPr>
          <w:rFonts w:ascii="Times New Roman" w:hAnsi="Times New Roman"/>
          <w:color w:val="000000" w:themeColor="text1"/>
          <w:sz w:val="24"/>
          <w:szCs w:val="24"/>
          <w:lang w:val="en-US"/>
        </w:rPr>
        <w:t xml:space="preserve"> Tercatat v</w:t>
      </w:r>
      <w:r>
        <w:rPr>
          <w:rFonts w:ascii="Times New Roman" w:hAnsi="Times New Roman"/>
          <w:color w:val="000000" w:themeColor="text1"/>
          <w:sz w:val="24"/>
          <w:szCs w:val="24"/>
        </w:rPr>
        <w:t>olume ekspor CPO Indonesia ke UE di tahun 2010 mencapai 4 juta ton. Meskipun pada tahun 2011 mengalami penurunan sekitar 3,8 juta ton akan tetapi di tahun setelah itu yaitu dari rentang tahun 2012-2017 mengalami peningkatan dan selalu mencapai rata-rata 4 juta ton. Bahkan di tahun 2016 volume ekspornya mencapai volume paling tinggi yaitu 4,3 juta ton. Namun sejak tahun 2018 hingga 2020 terjadi penurunan yang cukup tajam yaitu hanya mencapai 3,8 juta ton dan terus menurun hingga 3,4 juta ton di tahun 2020</w:t>
      </w:r>
      <w:r>
        <w:rPr>
          <w:rFonts w:ascii="Times New Roman" w:hAnsi="Times New Roman"/>
          <w:color w:val="000000" w:themeColor="text1"/>
          <w:sz w:val="24"/>
          <w:szCs w:val="24"/>
          <w:lang w:val="en-US"/>
        </w:rPr>
        <w:t xml:space="preserve"> (BPS, 2021)</w:t>
      </w:r>
      <w:r>
        <w:rPr>
          <w:rFonts w:ascii="Times New Roman" w:hAnsi="Times New Roman"/>
          <w:color w:val="000000" w:themeColor="text1"/>
          <w:sz w:val="24"/>
          <w:szCs w:val="24"/>
        </w:rPr>
        <w:t>.</w:t>
      </w:r>
    </w:p>
    <w:p w14:paraId="666786E3" w14:textId="77777777" w:rsidR="00867313" w:rsidRDefault="00F6798D" w:rsidP="00D36CAA">
      <w:pPr>
        <w:spacing w:after="0" w:line="240" w:lineRule="auto"/>
        <w:ind w:firstLine="426"/>
        <w:jc w:val="both"/>
        <w:rPr>
          <w:rFonts w:ascii="Times New Roman" w:hAnsi="Times New Roman"/>
          <w:color w:val="000000" w:themeColor="text1"/>
          <w:sz w:val="24"/>
          <w:szCs w:val="24"/>
        </w:rPr>
      </w:pPr>
      <w:r w:rsidRPr="00160390">
        <w:rPr>
          <w:rFonts w:ascii="Times New Roman" w:hAnsi="Times New Roman"/>
          <w:color w:val="000000" w:themeColor="text1"/>
          <w:sz w:val="24"/>
          <w:szCs w:val="24"/>
        </w:rPr>
        <w:t xml:space="preserve">CPO sendiri bukan menjadi satu-satunya minyak nabati yang dikonsumsi oleh UE, tetapi ada juga </w:t>
      </w:r>
      <w:r w:rsidRPr="00160390">
        <w:rPr>
          <w:rFonts w:ascii="Times New Roman" w:hAnsi="Times New Roman"/>
          <w:i/>
          <w:iCs/>
          <w:color w:val="000000" w:themeColor="text1"/>
          <w:sz w:val="24"/>
          <w:szCs w:val="24"/>
        </w:rPr>
        <w:t xml:space="preserve">rapeseed oil </w:t>
      </w:r>
      <w:r w:rsidRPr="00160390">
        <w:rPr>
          <w:rFonts w:ascii="Times New Roman" w:hAnsi="Times New Roman"/>
          <w:color w:val="000000" w:themeColor="text1"/>
          <w:sz w:val="24"/>
          <w:szCs w:val="24"/>
        </w:rPr>
        <w:t>(RSP</w:t>
      </w:r>
      <w:r w:rsidRPr="00160390">
        <w:rPr>
          <w:rFonts w:ascii="Times New Roman" w:hAnsi="Times New Roman"/>
          <w:i/>
          <w:iCs/>
          <w:color w:val="000000" w:themeColor="text1"/>
          <w:sz w:val="24"/>
          <w:szCs w:val="24"/>
        </w:rPr>
        <w:t xml:space="preserve">), sunflower oil </w:t>
      </w:r>
      <w:r w:rsidRPr="00160390">
        <w:rPr>
          <w:rFonts w:ascii="Times New Roman" w:hAnsi="Times New Roman"/>
          <w:color w:val="000000" w:themeColor="text1"/>
          <w:sz w:val="24"/>
          <w:szCs w:val="24"/>
        </w:rPr>
        <w:t xml:space="preserve">(SFO), </w:t>
      </w:r>
      <w:r w:rsidRPr="00160390">
        <w:rPr>
          <w:rFonts w:ascii="Times New Roman" w:hAnsi="Times New Roman"/>
          <w:i/>
          <w:iCs/>
          <w:color w:val="000000" w:themeColor="text1"/>
          <w:sz w:val="24"/>
          <w:szCs w:val="24"/>
        </w:rPr>
        <w:t xml:space="preserve">soybean oil </w:t>
      </w:r>
      <w:r w:rsidRPr="00160390">
        <w:rPr>
          <w:rFonts w:ascii="Times New Roman" w:hAnsi="Times New Roman"/>
          <w:color w:val="000000" w:themeColor="text1"/>
          <w:sz w:val="24"/>
          <w:szCs w:val="24"/>
        </w:rPr>
        <w:t xml:space="preserve">(SBO). UE bahkan memproduksi 3 komoditas minyak nabati di atas. Pada tahun 2000, UE paling banyak mengonsumsi RSO sebesar 33%, posisi kedua CPO sebesar 27%, ketiga adalah SBO sebesar 21%, dan terakhir SFO sebanyak 18%. Namun sejak tahun 2009, RSO mengalami penurunan sebesar 0,03% per tahun atau tergolong konstan. Tetapi untuk CPO meski mengalami fluktuasi, terlihat CPO di UE cenderung mengalami peningkatan yang cenderung pesat dari tahunn 1999-2009 yaitu sebesar 9% per tahun. Pada periode 2009-2016 juga tetap mengalami peningkatan meskipun terlihat lebih landai atau sekitar 3%  per tahun </w:t>
      </w:r>
      <w:sdt>
        <w:sdtPr>
          <w:rPr>
            <w:rFonts w:ascii="Times New Roman" w:hAnsi="Times New Roman"/>
            <w:color w:val="000000" w:themeColor="text1"/>
            <w:sz w:val="24"/>
            <w:szCs w:val="24"/>
          </w:rPr>
          <w:id w:val="-1080910491"/>
          <w:citation/>
        </w:sdtPr>
        <w:sdtEndPr/>
        <w:sdtContent>
          <w:r w:rsidRPr="00160390">
            <w:rPr>
              <w:rFonts w:ascii="Times New Roman" w:hAnsi="Times New Roman"/>
              <w:color w:val="000000" w:themeColor="text1"/>
              <w:sz w:val="24"/>
              <w:szCs w:val="24"/>
            </w:rPr>
            <w:fldChar w:fldCharType="begin"/>
          </w:r>
          <w:r w:rsidRPr="00160390">
            <w:rPr>
              <w:rFonts w:ascii="Times New Roman" w:hAnsi="Times New Roman"/>
              <w:color w:val="000000" w:themeColor="text1"/>
              <w:sz w:val="24"/>
              <w:szCs w:val="24"/>
            </w:rPr>
            <w:instrText xml:space="preserve"> CITATION Tim17 \l 1033 </w:instrText>
          </w:r>
          <w:r w:rsidRPr="00160390">
            <w:rPr>
              <w:rFonts w:ascii="Times New Roman" w:hAnsi="Times New Roman"/>
              <w:color w:val="000000" w:themeColor="text1"/>
              <w:sz w:val="24"/>
              <w:szCs w:val="24"/>
            </w:rPr>
            <w:fldChar w:fldCharType="separate"/>
          </w:r>
          <w:r w:rsidRPr="00160390">
            <w:rPr>
              <w:rFonts w:ascii="Times New Roman" w:hAnsi="Times New Roman"/>
              <w:noProof/>
              <w:color w:val="000000" w:themeColor="text1"/>
              <w:sz w:val="24"/>
              <w:szCs w:val="24"/>
            </w:rPr>
            <w:t>(PASPI, 2017)</w:t>
          </w:r>
          <w:r w:rsidRPr="00160390">
            <w:rPr>
              <w:rFonts w:ascii="Times New Roman" w:hAnsi="Times New Roman"/>
              <w:color w:val="000000" w:themeColor="text1"/>
              <w:sz w:val="24"/>
              <w:szCs w:val="24"/>
            </w:rPr>
            <w:fldChar w:fldCharType="end"/>
          </w:r>
        </w:sdtContent>
      </w:sdt>
      <w:r w:rsidRPr="00160390">
        <w:rPr>
          <w:rFonts w:ascii="Times New Roman" w:hAnsi="Times New Roman"/>
          <w:color w:val="000000" w:themeColor="text1"/>
          <w:sz w:val="24"/>
          <w:szCs w:val="24"/>
        </w:rPr>
        <w:t>.</w:t>
      </w:r>
      <w:bookmarkEnd w:id="0"/>
      <w:r>
        <w:rPr>
          <w:rFonts w:ascii="Times New Roman" w:hAnsi="Times New Roman"/>
          <w:color w:val="000000" w:themeColor="text1"/>
          <w:sz w:val="24"/>
          <w:szCs w:val="24"/>
          <w:lang w:val="en-US"/>
        </w:rPr>
        <w:t xml:space="preserve"> </w:t>
      </w:r>
      <w:r w:rsidRPr="00F6798D">
        <w:rPr>
          <w:rFonts w:ascii="Times New Roman" w:hAnsi="Times New Roman"/>
          <w:color w:val="000000" w:themeColor="text1"/>
          <w:sz w:val="24"/>
          <w:szCs w:val="24"/>
          <w:lang w:val="en-US"/>
        </w:rPr>
        <w:t xml:space="preserve">CPO yang ada di UE sebagian besar berasal dari Indonesia. </w:t>
      </w:r>
      <w:r w:rsidRPr="00F6798D">
        <w:rPr>
          <w:rFonts w:ascii="Times New Roman" w:hAnsi="Times New Roman"/>
          <w:sz w:val="24"/>
          <w:szCs w:val="24"/>
          <w:shd w:val="clear" w:color="auto" w:fill="FFFFFF"/>
        </w:rPr>
        <w:t xml:space="preserve">Menurut </w:t>
      </w:r>
      <w:r w:rsidRPr="00F6798D">
        <w:rPr>
          <w:rFonts w:ascii="Times New Roman" w:hAnsi="Times New Roman"/>
          <w:i/>
          <w:iCs/>
          <w:sz w:val="24"/>
          <w:szCs w:val="24"/>
          <w:shd w:val="clear" w:color="auto" w:fill="FFFFFF"/>
        </w:rPr>
        <w:t>Copenhagen Economics</w:t>
      </w:r>
      <w:r w:rsidRPr="00F6798D">
        <w:rPr>
          <w:rFonts w:ascii="Times New Roman" w:hAnsi="Times New Roman"/>
          <w:sz w:val="24"/>
          <w:szCs w:val="24"/>
          <w:shd w:val="clear" w:color="auto" w:fill="FFFFFF"/>
        </w:rPr>
        <w:t xml:space="preserve">, tahun 2017 74% CPO UE berasal dari Indonesia, Malaysia, dan Thailand. Sedangkan 26% berasal dari negara lain. </w:t>
      </w:r>
      <w:r w:rsidRPr="00F6798D">
        <w:rPr>
          <w:rFonts w:ascii="Times New Roman" w:hAnsi="Times New Roman"/>
          <w:color w:val="000000" w:themeColor="text1"/>
          <w:sz w:val="24"/>
          <w:szCs w:val="24"/>
        </w:rPr>
        <w:t xml:space="preserve">Hal ini menunjukkan posisi penting Indonesia di pasar minyak nabati UE </w:t>
      </w:r>
      <w:r w:rsidRPr="00F6798D">
        <w:rPr>
          <w:rFonts w:ascii="Times New Roman" w:hAnsi="Times New Roman"/>
          <w:sz w:val="24"/>
          <w:szCs w:val="24"/>
          <w:shd w:val="clear" w:color="auto" w:fill="FFFFFF"/>
        </w:rPr>
        <w:t>(</w:t>
      </w:r>
      <w:r w:rsidRPr="00F6798D">
        <w:rPr>
          <w:rFonts w:ascii="Times New Roman" w:hAnsi="Times New Roman"/>
          <w:i/>
          <w:iCs/>
          <w:sz w:val="24"/>
          <w:szCs w:val="24"/>
          <w:shd w:val="clear" w:color="auto" w:fill="FFFFFF"/>
        </w:rPr>
        <w:t>Copenhagen Economics</w:t>
      </w:r>
      <w:r w:rsidRPr="00F6798D">
        <w:rPr>
          <w:rFonts w:ascii="Times New Roman" w:hAnsi="Times New Roman"/>
          <w:sz w:val="24"/>
          <w:szCs w:val="24"/>
          <w:shd w:val="clear" w:color="auto" w:fill="FFFFFF"/>
        </w:rPr>
        <w:t>, 2018).</w:t>
      </w:r>
    </w:p>
    <w:p w14:paraId="681D7115" w14:textId="77777777" w:rsidR="00867313" w:rsidRPr="00867313" w:rsidRDefault="00867313" w:rsidP="0007686D">
      <w:pPr>
        <w:spacing w:after="0" w:line="240" w:lineRule="auto"/>
        <w:jc w:val="both"/>
        <w:rPr>
          <w:rFonts w:ascii="Times New Roman" w:hAnsi="Times New Roman"/>
          <w:b/>
          <w:bCs/>
          <w:color w:val="000000" w:themeColor="text1"/>
          <w:sz w:val="24"/>
          <w:szCs w:val="24"/>
          <w:lang w:val="en-US"/>
        </w:rPr>
      </w:pPr>
      <w:r w:rsidRPr="00867313">
        <w:rPr>
          <w:rFonts w:ascii="Times New Roman" w:hAnsi="Times New Roman"/>
          <w:b/>
          <w:bCs/>
          <w:color w:val="000000" w:themeColor="text1"/>
          <w:sz w:val="24"/>
          <w:szCs w:val="24"/>
          <w:lang w:val="en-US"/>
        </w:rPr>
        <w:t xml:space="preserve">Pemberlakuan RED II atas Kelapa Sawit </w:t>
      </w:r>
    </w:p>
    <w:p w14:paraId="47259E95" w14:textId="77777777" w:rsidR="009C3A78" w:rsidRDefault="00BD07DA" w:rsidP="00D36CAA">
      <w:pPr>
        <w:spacing w:after="0" w:line="240" w:lineRule="auto"/>
        <w:ind w:firstLine="426"/>
        <w:jc w:val="both"/>
        <w:rPr>
          <w:rFonts w:ascii="Times New Roman" w:hAnsi="Times New Roman"/>
          <w:color w:val="000000" w:themeColor="text1"/>
          <w:sz w:val="24"/>
          <w:szCs w:val="24"/>
        </w:rPr>
      </w:pPr>
      <w:r w:rsidRPr="00160390">
        <w:rPr>
          <w:rFonts w:ascii="Times New Roman" w:hAnsi="Times New Roman"/>
          <w:color w:val="000000" w:themeColor="text1"/>
          <w:sz w:val="24"/>
          <w:szCs w:val="24"/>
        </w:rPr>
        <w:t>Dalam revisi RED II 2018/2001/EU</w:t>
      </w:r>
      <w:r>
        <w:rPr>
          <w:rFonts w:ascii="Times New Roman" w:hAnsi="Times New Roman"/>
          <w:color w:val="000000" w:themeColor="text1"/>
          <w:sz w:val="24"/>
          <w:szCs w:val="24"/>
        </w:rPr>
        <w:t xml:space="preserve">, Pasal 26 melakukan pembatasan pada penggunaan biofuel yang terbuat dari tanaman pangan dan pakan pada industri transportasi. Pada tahun 2030, sektor transportasi harus memenuhi target sebanyak 14% dari target jumlah energi yang terbarukan dan maksimal hanya 7%  yang dapat digunakan dari biofuel yang berasal dari tanaman pangan dan pakan. </w:t>
      </w:r>
    </w:p>
    <w:p w14:paraId="305A23D2" w14:textId="77777777" w:rsidR="00FD0D7C" w:rsidRDefault="00BD07DA" w:rsidP="00FD0D7C">
      <w:pPr>
        <w:spacing w:after="0" w:line="240" w:lineRule="auto"/>
        <w:ind w:firstLine="425"/>
        <w:jc w:val="both"/>
        <w:rPr>
          <w:rFonts w:ascii="Times New Roman" w:hAnsi="Times New Roman"/>
          <w:sz w:val="24"/>
          <w:szCs w:val="24"/>
        </w:rPr>
      </w:pPr>
      <w:r>
        <w:rPr>
          <w:rFonts w:ascii="Times New Roman" w:hAnsi="Times New Roman"/>
          <w:color w:val="000000" w:themeColor="text1"/>
          <w:sz w:val="24"/>
          <w:szCs w:val="24"/>
        </w:rPr>
        <w:lastRenderedPageBreak/>
        <w:t xml:space="preserve">Porsi biofuel yang dihasilkan dari tanaman pangan dan pakan maksimal hanya 7%. Serta mengatur porsi biofuel yang terbuat dari tanaman pangan dan pakan yang memiliki risiko ILUC tinggi tidak boleh melebihi porsi biofuel yang memiliki risiko ILUC rendah. Kemudian, harus dikurangi secara bertahap hingga mencapai 0% pada tahun 2030 </w:t>
      </w:r>
      <w:r w:rsidRPr="00160390">
        <w:rPr>
          <w:rFonts w:ascii="Times New Roman" w:hAnsi="Times New Roman"/>
          <w:color w:val="000000" w:themeColor="text1"/>
          <w:sz w:val="24"/>
          <w:szCs w:val="24"/>
        </w:rPr>
        <w:t>(Adharsyah, 2019)</w:t>
      </w: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en-US"/>
        </w:rPr>
        <w:t xml:space="preserve">Untuk menentukan kriteria risiko ILUC tinggi atau rendah, Komisi Eropa mengeluarkan </w:t>
      </w:r>
      <w:r w:rsidRPr="009868A3">
        <w:rPr>
          <w:rFonts w:ascii="Times New Roman" w:hAnsi="Times New Roman"/>
          <w:i/>
          <w:iCs/>
          <w:color w:val="000000" w:themeColor="text1"/>
          <w:sz w:val="24"/>
          <w:szCs w:val="24"/>
          <w:lang w:val="en-US"/>
        </w:rPr>
        <w:t>Delegated Regulation</w:t>
      </w:r>
      <w:r>
        <w:rPr>
          <w:rFonts w:ascii="Times New Roman" w:hAnsi="Times New Roman"/>
          <w:color w:val="000000" w:themeColor="text1"/>
          <w:sz w:val="24"/>
          <w:szCs w:val="24"/>
          <w:lang w:val="en-US"/>
        </w:rPr>
        <w:t xml:space="preserve"> pada 13 Maret 2019 sebagai pedoman RED II. </w:t>
      </w:r>
      <w:r w:rsidR="00FD0D7C">
        <w:rPr>
          <w:rFonts w:ascii="Times New Roman" w:hAnsi="Times New Roman"/>
          <w:sz w:val="24"/>
          <w:szCs w:val="24"/>
        </w:rPr>
        <w:t xml:space="preserve">Dalam pasal 3 </w:t>
      </w:r>
      <w:r w:rsidR="00FD0D7C" w:rsidRPr="003B226A">
        <w:rPr>
          <w:rFonts w:ascii="Times New Roman" w:hAnsi="Times New Roman"/>
          <w:i/>
          <w:iCs/>
          <w:sz w:val="24"/>
          <w:szCs w:val="24"/>
        </w:rPr>
        <w:t>Delegated Regulation</w:t>
      </w:r>
      <w:r w:rsidR="00FD0D7C">
        <w:rPr>
          <w:rFonts w:ascii="Times New Roman" w:hAnsi="Times New Roman"/>
          <w:sz w:val="24"/>
          <w:szCs w:val="24"/>
        </w:rPr>
        <w:t xml:space="preserve"> dijelaskan mengenai kriteria untuk mengidentifikasi bahan baku dengan risiko ILUC tinggi yaitu: bahan baku tersebut telah menunjukkan “ekspansi produksi area tahunan rata-rata yang sejak 2008” yang lebih dari 1% dan penggunaan pada lahan lebih dari 100.000 hektar, dan porsi ekspansi ke lahan dengan cadangan karbon yang tinggi lebih dari 10% (Pasal 3 </w:t>
      </w:r>
      <w:r w:rsidR="00FD0D7C" w:rsidRPr="003B226A">
        <w:rPr>
          <w:rFonts w:ascii="Times New Roman" w:hAnsi="Times New Roman"/>
          <w:i/>
          <w:iCs/>
          <w:sz w:val="24"/>
          <w:szCs w:val="24"/>
        </w:rPr>
        <w:t>Delegated Regulation</w:t>
      </w:r>
      <w:r w:rsidR="00FD0D7C">
        <w:rPr>
          <w:rFonts w:ascii="Times New Roman" w:hAnsi="Times New Roman"/>
          <w:sz w:val="24"/>
          <w:szCs w:val="24"/>
        </w:rPr>
        <w:t xml:space="preserve">). </w:t>
      </w:r>
    </w:p>
    <w:p w14:paraId="1F4C4CC5" w14:textId="296A017E" w:rsidR="009C3A78" w:rsidRPr="00FD0D7C" w:rsidRDefault="00FD0D7C" w:rsidP="00FD0D7C">
      <w:pPr>
        <w:spacing w:after="0" w:line="240" w:lineRule="auto"/>
        <w:ind w:firstLine="425"/>
        <w:jc w:val="both"/>
        <w:rPr>
          <w:rFonts w:ascii="Times New Roman" w:hAnsi="Times New Roman"/>
          <w:color w:val="000000" w:themeColor="text1"/>
          <w:sz w:val="24"/>
          <w:szCs w:val="24"/>
        </w:rPr>
      </w:pPr>
      <w:r>
        <w:rPr>
          <w:rFonts w:ascii="Times New Roman" w:hAnsi="Times New Roman"/>
          <w:sz w:val="24"/>
          <w:szCs w:val="24"/>
        </w:rPr>
        <w:t xml:space="preserve">Dalam daftar tambahan di </w:t>
      </w:r>
      <w:r w:rsidRPr="002A14B5">
        <w:rPr>
          <w:rFonts w:ascii="Times New Roman" w:hAnsi="Times New Roman"/>
          <w:i/>
          <w:iCs/>
          <w:sz w:val="24"/>
          <w:szCs w:val="24"/>
        </w:rPr>
        <w:t>Delegated Regulation</w:t>
      </w:r>
      <w:r>
        <w:rPr>
          <w:rFonts w:ascii="Times New Roman" w:hAnsi="Times New Roman"/>
          <w:sz w:val="24"/>
          <w:szCs w:val="24"/>
        </w:rPr>
        <w:t xml:space="preserve"> antara lain nama-nama bahan baku minyak nabati adalah </w:t>
      </w:r>
      <w:r w:rsidRPr="002A14B5">
        <w:rPr>
          <w:rFonts w:ascii="Times New Roman" w:hAnsi="Times New Roman"/>
          <w:i/>
          <w:iCs/>
          <w:sz w:val="24"/>
          <w:szCs w:val="24"/>
        </w:rPr>
        <w:t>rapeseed, sunflower, soybean,</w:t>
      </w:r>
      <w:r>
        <w:rPr>
          <w:rFonts w:ascii="Times New Roman" w:hAnsi="Times New Roman"/>
          <w:sz w:val="24"/>
          <w:szCs w:val="24"/>
        </w:rPr>
        <w:t xml:space="preserve"> dan kelapa sawit. Dari berbagai jenis bahan baku minyak nabati di atas, tercantum jika hanya kelapa sawit sebagai minyak nabati yang ekspansi tahunan rata-rata area produksi sejak 2008 lebih dari 1% yaitu 4%. Porsi ekspansi ke lahan dengan cadangan karbon tingginya lebih dari 10% yaitu pada ekspansi lahan basah 34%, kawasan hutan 45%. Sedangkan ekspansi tahunan rata-rata area produksi sejak 2008 untuk </w:t>
      </w:r>
      <w:r>
        <w:rPr>
          <w:rFonts w:ascii="Times New Roman" w:hAnsi="Times New Roman"/>
          <w:i/>
          <w:iCs/>
          <w:sz w:val="24"/>
          <w:szCs w:val="24"/>
        </w:rPr>
        <w:t>r</w:t>
      </w:r>
      <w:r w:rsidRPr="00891C7F">
        <w:rPr>
          <w:rFonts w:ascii="Times New Roman" w:hAnsi="Times New Roman"/>
          <w:i/>
          <w:iCs/>
          <w:sz w:val="24"/>
          <w:szCs w:val="24"/>
        </w:rPr>
        <w:t>apeseed</w:t>
      </w:r>
      <w:r>
        <w:rPr>
          <w:rFonts w:ascii="Times New Roman" w:hAnsi="Times New Roman"/>
          <w:sz w:val="24"/>
          <w:szCs w:val="24"/>
        </w:rPr>
        <w:t xml:space="preserve"> hanya 1% , </w:t>
      </w:r>
      <w:r>
        <w:rPr>
          <w:rFonts w:ascii="Times New Roman" w:hAnsi="Times New Roman"/>
          <w:i/>
          <w:iCs/>
          <w:sz w:val="24"/>
          <w:szCs w:val="24"/>
        </w:rPr>
        <w:t>s</w:t>
      </w:r>
      <w:r w:rsidRPr="00891C7F">
        <w:rPr>
          <w:rFonts w:ascii="Times New Roman" w:hAnsi="Times New Roman"/>
          <w:i/>
          <w:iCs/>
          <w:sz w:val="24"/>
          <w:szCs w:val="24"/>
        </w:rPr>
        <w:t>unflower</w:t>
      </w:r>
      <w:r>
        <w:rPr>
          <w:rFonts w:ascii="Times New Roman" w:hAnsi="Times New Roman"/>
          <w:sz w:val="24"/>
          <w:szCs w:val="24"/>
        </w:rPr>
        <w:t xml:space="preserve"> 0,5%, </w:t>
      </w:r>
      <w:r>
        <w:rPr>
          <w:rFonts w:ascii="Times New Roman" w:hAnsi="Times New Roman"/>
          <w:i/>
          <w:iCs/>
          <w:sz w:val="24"/>
          <w:szCs w:val="24"/>
        </w:rPr>
        <w:t>s</w:t>
      </w:r>
      <w:r w:rsidRPr="00891C7F">
        <w:rPr>
          <w:rFonts w:ascii="Times New Roman" w:hAnsi="Times New Roman"/>
          <w:i/>
          <w:iCs/>
          <w:sz w:val="24"/>
          <w:szCs w:val="24"/>
        </w:rPr>
        <w:t>oybean</w:t>
      </w:r>
      <w:r>
        <w:rPr>
          <w:rFonts w:ascii="Times New Roman" w:hAnsi="Times New Roman"/>
          <w:sz w:val="24"/>
          <w:szCs w:val="24"/>
        </w:rPr>
        <w:t xml:space="preserve"> 3%. Ekspansi ke lahan dengan cadangan karbon tinggi, </w:t>
      </w:r>
      <w:r w:rsidRPr="00891C7F">
        <w:rPr>
          <w:rFonts w:ascii="Times New Roman" w:hAnsi="Times New Roman"/>
          <w:i/>
          <w:iCs/>
          <w:sz w:val="24"/>
          <w:szCs w:val="24"/>
        </w:rPr>
        <w:t>Rapeseed</w:t>
      </w:r>
      <w:r>
        <w:rPr>
          <w:rFonts w:ascii="Times New Roman" w:hAnsi="Times New Roman"/>
          <w:sz w:val="24"/>
          <w:szCs w:val="24"/>
        </w:rPr>
        <w:t xml:space="preserve"> 1%, </w:t>
      </w:r>
      <w:r w:rsidRPr="00891C7F">
        <w:rPr>
          <w:rFonts w:ascii="Times New Roman" w:hAnsi="Times New Roman"/>
          <w:i/>
          <w:iCs/>
          <w:sz w:val="24"/>
          <w:szCs w:val="24"/>
        </w:rPr>
        <w:t>Sunflower</w:t>
      </w:r>
      <w:r>
        <w:rPr>
          <w:rFonts w:ascii="Times New Roman" w:hAnsi="Times New Roman"/>
          <w:sz w:val="24"/>
          <w:szCs w:val="24"/>
        </w:rPr>
        <w:t xml:space="preserve"> 1%, </w:t>
      </w:r>
      <w:r w:rsidRPr="00891C7F">
        <w:rPr>
          <w:rFonts w:ascii="Times New Roman" w:hAnsi="Times New Roman"/>
          <w:i/>
          <w:iCs/>
          <w:sz w:val="24"/>
          <w:szCs w:val="24"/>
        </w:rPr>
        <w:t>Soybean</w:t>
      </w:r>
      <w:r>
        <w:rPr>
          <w:rFonts w:ascii="Times New Roman" w:hAnsi="Times New Roman"/>
          <w:sz w:val="24"/>
          <w:szCs w:val="24"/>
        </w:rPr>
        <w:t xml:space="preserve"> 8%. Ketiga jenis minyak nabati ini masuk kedalam risiko ILUC rendah. </w:t>
      </w:r>
      <w:r>
        <w:rPr>
          <w:rFonts w:ascii="Times New Roman" w:hAnsi="Times New Roman"/>
          <w:color w:val="000000" w:themeColor="text1"/>
          <w:sz w:val="24"/>
          <w:szCs w:val="24"/>
        </w:rPr>
        <w:t xml:space="preserve"> </w:t>
      </w:r>
      <w:r w:rsidRPr="00160390">
        <w:rPr>
          <w:rFonts w:ascii="Times New Roman" w:hAnsi="Times New Roman"/>
          <w:color w:val="000000" w:themeColor="text1"/>
          <w:sz w:val="24"/>
          <w:szCs w:val="24"/>
        </w:rPr>
        <w:t>Hal ini</w:t>
      </w:r>
      <w:r>
        <w:rPr>
          <w:rFonts w:ascii="Times New Roman" w:hAnsi="Times New Roman"/>
          <w:color w:val="000000" w:themeColor="text1"/>
          <w:sz w:val="24"/>
          <w:szCs w:val="24"/>
        </w:rPr>
        <w:t xml:space="preserve"> bagi Indonesia mendiskrimnasi</w:t>
      </w:r>
      <w:r w:rsidRPr="00160390">
        <w:rPr>
          <w:rFonts w:ascii="Times New Roman" w:hAnsi="Times New Roman"/>
          <w:color w:val="000000" w:themeColor="text1"/>
          <w:sz w:val="24"/>
          <w:szCs w:val="24"/>
        </w:rPr>
        <w:t xml:space="preserve"> CPO dari komoditas minyak nabati yang lain seperti, RSO, SFO, dan S</w:t>
      </w:r>
      <w:r>
        <w:rPr>
          <w:rFonts w:ascii="Times New Roman" w:hAnsi="Times New Roman"/>
          <w:color w:val="000000" w:themeColor="text1"/>
          <w:sz w:val="24"/>
          <w:szCs w:val="24"/>
        </w:rPr>
        <w:t>BO karena cara perhitungan ILUC yang tidak dijelaskan oleh UE</w:t>
      </w:r>
      <w:r>
        <w:rPr>
          <w:rFonts w:ascii="Times New Roman" w:hAnsi="Times New Roman"/>
          <w:i/>
          <w:iCs/>
          <w:color w:val="000000" w:themeColor="text1"/>
          <w:sz w:val="24"/>
          <w:szCs w:val="24"/>
        </w:rPr>
        <w:t xml:space="preserve">. </w:t>
      </w:r>
    </w:p>
    <w:p w14:paraId="2454E351" w14:textId="781FDAD3" w:rsidR="00BD07DA" w:rsidRDefault="00BD07DA" w:rsidP="0007686D">
      <w:pPr>
        <w:spacing w:after="0" w:line="240" w:lineRule="auto"/>
        <w:jc w:val="both"/>
        <w:rPr>
          <w:rFonts w:ascii="Times New Roman" w:hAnsi="Times New Roman"/>
          <w:b/>
          <w:color w:val="000000"/>
          <w:sz w:val="24"/>
          <w:szCs w:val="24"/>
          <w:lang w:val="en-AU"/>
        </w:rPr>
      </w:pPr>
      <w:r>
        <w:rPr>
          <w:rFonts w:ascii="Times New Roman" w:hAnsi="Times New Roman"/>
          <w:b/>
          <w:color w:val="000000"/>
          <w:sz w:val="24"/>
          <w:szCs w:val="24"/>
          <w:lang w:val="en-AU"/>
        </w:rPr>
        <w:t>Upaya Indonesia dalam Membangun Industri Kelapa Sawit Berkelanjutan</w:t>
      </w:r>
    </w:p>
    <w:p w14:paraId="45174712" w14:textId="571EC45E" w:rsidR="00BD07DA" w:rsidRDefault="00BD07DA" w:rsidP="004F13F7">
      <w:pPr>
        <w:spacing w:after="0" w:line="240" w:lineRule="auto"/>
        <w:ind w:firstLine="284"/>
        <w:jc w:val="both"/>
        <w:rPr>
          <w:rFonts w:ascii="Times New Roman" w:hAnsi="Times New Roman"/>
          <w:color w:val="000000" w:themeColor="text1"/>
          <w:sz w:val="24"/>
          <w:szCs w:val="24"/>
          <w:lang w:val="en-US"/>
        </w:rPr>
      </w:pPr>
      <w:r w:rsidRPr="00F03EEC">
        <w:rPr>
          <w:rFonts w:ascii="Times New Roman" w:hAnsi="Times New Roman"/>
          <w:color w:val="000000" w:themeColor="text1"/>
          <w:sz w:val="24"/>
          <w:szCs w:val="24"/>
          <w:lang w:val="en-US"/>
        </w:rPr>
        <w:t>Adapun upaya dari Indonesia ialah</w:t>
      </w:r>
      <w:r w:rsidR="00867313">
        <w:rPr>
          <w:rFonts w:ascii="Times New Roman" w:hAnsi="Times New Roman"/>
          <w:color w:val="000000" w:themeColor="text1"/>
          <w:sz w:val="24"/>
          <w:szCs w:val="24"/>
          <w:lang w:val="en-US"/>
        </w:rPr>
        <w:t>:</w:t>
      </w:r>
    </w:p>
    <w:p w14:paraId="290E61FB" w14:textId="0DD45327" w:rsidR="00BD07DA" w:rsidRPr="0007686D" w:rsidRDefault="00BD07DA" w:rsidP="0007686D">
      <w:pPr>
        <w:pStyle w:val="ListParagraph"/>
        <w:numPr>
          <w:ilvl w:val="0"/>
          <w:numId w:val="5"/>
        </w:numPr>
        <w:spacing w:after="0" w:line="240" w:lineRule="auto"/>
        <w:ind w:left="284" w:hanging="284"/>
        <w:jc w:val="both"/>
        <w:rPr>
          <w:rFonts w:ascii="Times New Roman" w:hAnsi="Times New Roman"/>
          <w:b/>
          <w:bCs/>
          <w:color w:val="000000" w:themeColor="text1"/>
          <w:sz w:val="24"/>
          <w:szCs w:val="24"/>
          <w:lang w:val="en-US"/>
        </w:rPr>
      </w:pPr>
      <w:r w:rsidRPr="0007686D">
        <w:rPr>
          <w:rFonts w:ascii="Times New Roman" w:hAnsi="Times New Roman"/>
          <w:b/>
          <w:bCs/>
          <w:i/>
          <w:iCs/>
          <w:color w:val="000000" w:themeColor="text1"/>
          <w:sz w:val="24"/>
          <w:szCs w:val="24"/>
          <w:lang w:val="en-US"/>
        </w:rPr>
        <w:t>Indonesia Sustainable Palm Oil</w:t>
      </w:r>
      <w:r w:rsidRPr="0007686D">
        <w:rPr>
          <w:rFonts w:ascii="Times New Roman" w:hAnsi="Times New Roman"/>
          <w:b/>
          <w:bCs/>
          <w:color w:val="000000" w:themeColor="text1"/>
          <w:sz w:val="24"/>
          <w:szCs w:val="24"/>
          <w:lang w:val="en-US"/>
        </w:rPr>
        <w:t xml:space="preserve"> (ISPO)</w:t>
      </w:r>
    </w:p>
    <w:p w14:paraId="746EDBE2" w14:textId="77777777" w:rsidR="004F13F7" w:rsidRDefault="00BD07DA" w:rsidP="004F13F7">
      <w:pPr>
        <w:pStyle w:val="ListParagraph"/>
        <w:spacing w:after="0" w:line="240" w:lineRule="auto"/>
        <w:ind w:left="0" w:firstLine="283"/>
        <w:jc w:val="both"/>
        <w:rPr>
          <w:rFonts w:ascii="Times New Roman" w:hAnsi="Times New Roman"/>
          <w:sz w:val="24"/>
          <w:szCs w:val="24"/>
        </w:rPr>
      </w:pPr>
      <w:r w:rsidRPr="00160390">
        <w:rPr>
          <w:rFonts w:ascii="Times New Roman" w:hAnsi="Times New Roman"/>
          <w:sz w:val="24"/>
          <w:szCs w:val="24"/>
        </w:rPr>
        <w:t xml:space="preserve">Sejak tahun 2011 Kementerian Pertanian telah membuat kebijakan sertifikasi kelapa sawit bernama </w:t>
      </w:r>
      <w:r w:rsidRPr="00160390">
        <w:rPr>
          <w:rFonts w:ascii="Times New Roman" w:hAnsi="Times New Roman"/>
          <w:i/>
          <w:iCs/>
          <w:sz w:val="24"/>
          <w:szCs w:val="24"/>
        </w:rPr>
        <w:t>Indonesia Sustainable Palm Oil</w:t>
      </w:r>
      <w:r w:rsidRPr="00160390">
        <w:rPr>
          <w:rFonts w:ascii="Times New Roman" w:hAnsi="Times New Roman"/>
          <w:sz w:val="24"/>
          <w:szCs w:val="24"/>
        </w:rPr>
        <w:t xml:space="preserve"> (ISPO) yaitu sebuah sistem pembinaan untuk industri kelapa sawit Indonesia yang  bertujuan agar kelapa sawit Indonesia layak dalam berbagai aspek yaitu ekonomi, sosial budaya, dan lingkungan</w:t>
      </w:r>
      <w:r w:rsidR="004F13F7">
        <w:rPr>
          <w:rFonts w:ascii="Times New Roman" w:hAnsi="Times New Roman"/>
          <w:sz w:val="24"/>
          <w:szCs w:val="24"/>
          <w:lang w:val="en-US"/>
        </w:rPr>
        <w:t xml:space="preserve">. </w:t>
      </w:r>
      <w:r w:rsidR="004F13F7" w:rsidRPr="00160390">
        <w:rPr>
          <w:rFonts w:ascii="Times New Roman" w:hAnsi="Times New Roman"/>
          <w:sz w:val="24"/>
          <w:szCs w:val="24"/>
        </w:rPr>
        <w:t xml:space="preserve">Hal ini guna meningkatkan daya saing sawit Indonesia di pasar Internasional dan untuk mencapai tujuan pemerintah Indonesia dalam mengurangi emisi gas dan memberlakukan minyak sawit berkelanjutan (Indonesia Palm Oil, 2022). </w:t>
      </w:r>
    </w:p>
    <w:p w14:paraId="27D1B3A6" w14:textId="47A7337B" w:rsidR="00BD07DA" w:rsidRPr="004F13F7" w:rsidRDefault="004F13F7" w:rsidP="004F13F7">
      <w:pPr>
        <w:pStyle w:val="ListParagraph"/>
        <w:spacing w:after="0" w:line="240" w:lineRule="auto"/>
        <w:ind w:left="0" w:firstLine="283"/>
        <w:jc w:val="both"/>
        <w:rPr>
          <w:rFonts w:ascii="Times New Roman" w:hAnsi="Times New Roman"/>
          <w:sz w:val="24"/>
          <w:szCs w:val="24"/>
          <w:lang w:val="en-US"/>
        </w:rPr>
      </w:pPr>
      <w:r w:rsidRPr="00160390">
        <w:rPr>
          <w:rFonts w:ascii="Times New Roman" w:hAnsi="Times New Roman"/>
          <w:sz w:val="24"/>
          <w:szCs w:val="24"/>
        </w:rPr>
        <w:t>Namun, sertifikasi ISPO masih mengalami hambatan dan kelemahan baik dalam proses mekanisme sertfikasi ISPO yang tidak transparan, tidak ada kekuatan untuk memberi pengaruh terhadap pasar maupun konsumen karena masih dianggap sebagai kebijakan lokal, dan kuatnya stigma negatif pada industri kelapa sawit yang membuat sertifikasi ISPO tidak diterima. Lalu, untuk menjawab segala permasalahan mengenai ISPO. Presiden Jokowi  pada tanggal 13 Maret  tahun 2020 menetapkan Perpres No. 44 Tahun 2020 tentang ISPO  telah dilakukan revisi untuk ISPO dengan tujuan penguatan ISPO berdasarkan Perpres No. 44 Tahun 2020 tentang ISPO, dan diundang-undangkan di tanggal 16 Maret 2020 (Arumingtyas, Lusia).</w:t>
      </w:r>
    </w:p>
    <w:p w14:paraId="32E5BC80" w14:textId="20C07A3B" w:rsidR="00BD07DA" w:rsidRPr="00867313" w:rsidRDefault="00BD07DA" w:rsidP="0007686D">
      <w:pPr>
        <w:pStyle w:val="ListParagraph"/>
        <w:numPr>
          <w:ilvl w:val="0"/>
          <w:numId w:val="5"/>
        </w:numPr>
        <w:spacing w:after="0" w:line="240" w:lineRule="auto"/>
        <w:ind w:left="284" w:hanging="284"/>
        <w:jc w:val="both"/>
        <w:rPr>
          <w:rFonts w:ascii="Times New Roman" w:hAnsi="Times New Roman"/>
          <w:b/>
          <w:bCs/>
          <w:color w:val="000000" w:themeColor="text1"/>
          <w:sz w:val="24"/>
          <w:szCs w:val="24"/>
          <w:lang w:val="en-US"/>
        </w:rPr>
      </w:pPr>
      <w:r w:rsidRPr="00867313">
        <w:rPr>
          <w:rFonts w:ascii="Times New Roman" w:hAnsi="Times New Roman"/>
          <w:b/>
          <w:bCs/>
          <w:color w:val="000000" w:themeColor="text1"/>
          <w:sz w:val="24"/>
          <w:szCs w:val="24"/>
          <w:lang w:val="en-US"/>
        </w:rPr>
        <w:t>Program Peremajaan Sawit Rakyat (PSR)</w:t>
      </w:r>
    </w:p>
    <w:p w14:paraId="65BA64C4" w14:textId="77777777" w:rsidR="004F13F7" w:rsidRDefault="00BD07DA" w:rsidP="004F13F7">
      <w:pPr>
        <w:pStyle w:val="ListParagraph"/>
        <w:spacing w:after="0" w:line="240" w:lineRule="auto"/>
        <w:ind w:left="0" w:firstLine="284"/>
        <w:jc w:val="both"/>
        <w:rPr>
          <w:rFonts w:ascii="Times New Roman" w:hAnsi="Times New Roman"/>
          <w:sz w:val="24"/>
          <w:szCs w:val="24"/>
          <w:lang w:val="en-US"/>
        </w:rPr>
      </w:pPr>
      <w:r w:rsidRPr="00160390">
        <w:rPr>
          <w:rFonts w:ascii="Times New Roman" w:hAnsi="Times New Roman"/>
          <w:sz w:val="24"/>
          <w:szCs w:val="24"/>
        </w:rPr>
        <w:t>Program PSR bertujuan untuk mengembangkan perkebunan kelapa sawit milik rakyat dengan cara mengganti tanaman tua tidak produktif dengan tanaman baru dan mengurangi resiko pembukaan lahan ilegal</w:t>
      </w:r>
      <w:r w:rsidR="00B80241">
        <w:rPr>
          <w:rFonts w:ascii="Times New Roman" w:hAnsi="Times New Roman"/>
          <w:sz w:val="24"/>
          <w:szCs w:val="24"/>
          <w:lang w:val="en-US"/>
        </w:rPr>
        <w:t xml:space="preserve"> (Arumingtyas, 2020).</w:t>
      </w:r>
      <w:r w:rsidR="004F13F7">
        <w:rPr>
          <w:rFonts w:ascii="Times New Roman" w:hAnsi="Times New Roman"/>
          <w:sz w:val="24"/>
          <w:szCs w:val="24"/>
          <w:lang w:val="en-US"/>
        </w:rPr>
        <w:t xml:space="preserve"> </w:t>
      </w:r>
      <w:r w:rsidR="004F13F7" w:rsidRPr="00160390">
        <w:rPr>
          <w:rFonts w:ascii="Times New Roman" w:hAnsi="Times New Roman"/>
          <w:sz w:val="24"/>
          <w:szCs w:val="24"/>
        </w:rPr>
        <w:t xml:space="preserve">Perkebunan sawit di Indonesia memiliki lahan yang luas tercatat perkebunan swasta sekitar 7,88 Juta hektar, Perkebunan rakyat sekitar 5,8 juta hektar, dan perkebunan milik negara 635 ribu hektar. Namun usia lahan perkebunan rata-rata di atas 30 tahun padahal daur tanaman kelapa </w:t>
      </w:r>
      <w:r w:rsidR="004F13F7" w:rsidRPr="00160390">
        <w:rPr>
          <w:rFonts w:ascii="Times New Roman" w:hAnsi="Times New Roman"/>
          <w:sz w:val="24"/>
          <w:szCs w:val="24"/>
        </w:rPr>
        <w:lastRenderedPageBreak/>
        <w:t>sawit adalah 25 tahun, dan pada akhir daur menjadi tidak produktif lagi dan harus diremajakan</w:t>
      </w:r>
      <w:sdt>
        <w:sdtPr>
          <w:rPr>
            <w:rFonts w:ascii="Times New Roman" w:hAnsi="Times New Roman"/>
            <w:sz w:val="24"/>
            <w:szCs w:val="24"/>
          </w:rPr>
          <w:id w:val="1863085218"/>
          <w:citation/>
        </w:sdtPr>
        <w:sdtEndPr/>
        <w:sdtContent>
          <w:r w:rsidR="004F13F7" w:rsidRPr="00160390">
            <w:rPr>
              <w:rFonts w:ascii="Times New Roman" w:hAnsi="Times New Roman"/>
              <w:sz w:val="24"/>
              <w:szCs w:val="24"/>
            </w:rPr>
            <w:fldChar w:fldCharType="begin"/>
          </w:r>
          <w:r w:rsidR="004F13F7" w:rsidRPr="00160390">
            <w:rPr>
              <w:rFonts w:ascii="Times New Roman" w:hAnsi="Times New Roman"/>
              <w:sz w:val="24"/>
              <w:szCs w:val="24"/>
            </w:rPr>
            <w:instrText xml:space="preserve">CITATION Kem17 \l 1033 </w:instrText>
          </w:r>
          <w:r w:rsidR="004F13F7" w:rsidRPr="00160390">
            <w:rPr>
              <w:rFonts w:ascii="Times New Roman" w:hAnsi="Times New Roman"/>
              <w:sz w:val="24"/>
              <w:szCs w:val="24"/>
            </w:rPr>
            <w:fldChar w:fldCharType="separate"/>
          </w:r>
          <w:r w:rsidR="004F13F7" w:rsidRPr="00160390">
            <w:rPr>
              <w:rFonts w:ascii="Times New Roman" w:hAnsi="Times New Roman"/>
              <w:noProof/>
              <w:sz w:val="24"/>
              <w:szCs w:val="24"/>
            </w:rPr>
            <w:t xml:space="preserve"> (Kementan, 2017)</w:t>
          </w:r>
          <w:r w:rsidR="004F13F7" w:rsidRPr="00160390">
            <w:rPr>
              <w:rFonts w:ascii="Times New Roman" w:hAnsi="Times New Roman"/>
              <w:sz w:val="24"/>
              <w:szCs w:val="24"/>
            </w:rPr>
            <w:fldChar w:fldCharType="end"/>
          </w:r>
        </w:sdtContent>
      </w:sdt>
      <w:r w:rsidR="004F13F7" w:rsidRPr="00160390">
        <w:rPr>
          <w:rFonts w:ascii="Times New Roman" w:hAnsi="Times New Roman"/>
          <w:sz w:val="24"/>
          <w:szCs w:val="24"/>
        </w:rPr>
        <w:t>.</w:t>
      </w:r>
      <w:r w:rsidR="004F13F7">
        <w:rPr>
          <w:rFonts w:ascii="Times New Roman" w:hAnsi="Times New Roman"/>
          <w:sz w:val="24"/>
          <w:szCs w:val="24"/>
          <w:lang w:val="en-US"/>
        </w:rPr>
        <w:t xml:space="preserve"> </w:t>
      </w:r>
    </w:p>
    <w:p w14:paraId="25449287" w14:textId="484E65B6" w:rsidR="00B80241" w:rsidRPr="004F13F7" w:rsidRDefault="004F13F7" w:rsidP="004F13F7">
      <w:pPr>
        <w:pStyle w:val="ListParagraph"/>
        <w:spacing w:after="0" w:line="240" w:lineRule="auto"/>
        <w:ind w:left="0" w:firstLine="284"/>
        <w:jc w:val="both"/>
        <w:rPr>
          <w:rFonts w:ascii="Times New Roman" w:hAnsi="Times New Roman"/>
          <w:sz w:val="24"/>
          <w:szCs w:val="24"/>
        </w:rPr>
      </w:pPr>
      <w:r w:rsidRPr="00160390">
        <w:rPr>
          <w:rFonts w:ascii="Times New Roman" w:hAnsi="Times New Roman"/>
          <w:sz w:val="24"/>
          <w:szCs w:val="24"/>
        </w:rPr>
        <w:t>Produktivitas perkebunan sawit rakyat tergolong rendah berkisar sekitar 2 – 3 ton per hektar per tahun padahal lahan perkebunan sawit Indonesia sekitar 36% adalah milik dan dikelola oleh petani. Angka produksi perkebunan milik rakyat itu tercatat hanya separuh dari angka hasil produksi  perkebunan milik swasta.</w:t>
      </w:r>
      <w:r>
        <w:rPr>
          <w:rFonts w:ascii="Times New Roman" w:hAnsi="Times New Roman"/>
          <w:sz w:val="24"/>
          <w:szCs w:val="24"/>
          <w:lang w:val="en-US"/>
        </w:rPr>
        <w:t xml:space="preserve"> </w:t>
      </w:r>
      <w:r w:rsidRPr="00160390">
        <w:rPr>
          <w:rFonts w:ascii="Times New Roman" w:hAnsi="Times New Roman"/>
          <w:sz w:val="24"/>
          <w:szCs w:val="24"/>
        </w:rPr>
        <w:t>PSR dilaksanakan dengan memenuhi empat unsur yaitu legal, produktivitas, sertfikasi ISPO, dan Prinsip berkelanjutan. Jadi, untuk bisa memenuhi unsur legal para petani harus mengikuti aspek legalitas tanah. Sedangkan unsur produktivitas adalah guna memberi peningkatan standar produktivitas hingga 10 ton per hektar per tahun dengan kepadatan tanaman di atas 80 pohon per hektar. Lalu, untuk unsur sertifikasi ISPO, petani yang ikut program ini akan difasilitasi mendapatkan sertifikasi ISPO pada panen pertama. Terakhir unsur prinsip berkelanjutan ialah berdasar pada prinsip keberlanjutan itu sendiri yang mencakup tanah, konservasi, lingkungan, dan lembaga</w:t>
      </w:r>
      <w:sdt>
        <w:sdtPr>
          <w:rPr>
            <w:rFonts w:ascii="Times New Roman" w:hAnsi="Times New Roman"/>
            <w:sz w:val="24"/>
            <w:szCs w:val="24"/>
          </w:rPr>
          <w:id w:val="72084381"/>
          <w:citation/>
        </w:sdtPr>
        <w:sdtEndPr/>
        <w:sdtContent>
          <w:r w:rsidRPr="00160390">
            <w:rPr>
              <w:rFonts w:ascii="Times New Roman" w:hAnsi="Times New Roman"/>
              <w:sz w:val="24"/>
              <w:szCs w:val="24"/>
            </w:rPr>
            <w:fldChar w:fldCharType="begin"/>
          </w:r>
          <w:r w:rsidRPr="00160390">
            <w:rPr>
              <w:rFonts w:ascii="Times New Roman" w:hAnsi="Times New Roman"/>
              <w:sz w:val="24"/>
              <w:szCs w:val="24"/>
            </w:rPr>
            <w:instrText xml:space="preserve">CITATION BPD201 \l 1033 </w:instrText>
          </w:r>
          <w:r w:rsidRPr="00160390">
            <w:rPr>
              <w:rFonts w:ascii="Times New Roman" w:hAnsi="Times New Roman"/>
              <w:sz w:val="24"/>
              <w:szCs w:val="24"/>
            </w:rPr>
            <w:fldChar w:fldCharType="separate"/>
          </w:r>
          <w:r w:rsidRPr="00160390">
            <w:rPr>
              <w:rFonts w:ascii="Times New Roman" w:hAnsi="Times New Roman"/>
              <w:noProof/>
              <w:sz w:val="24"/>
              <w:szCs w:val="24"/>
            </w:rPr>
            <w:t xml:space="preserve"> (BPDP, 2020)</w:t>
          </w:r>
          <w:r w:rsidRPr="00160390">
            <w:rPr>
              <w:rFonts w:ascii="Times New Roman" w:hAnsi="Times New Roman"/>
              <w:sz w:val="24"/>
              <w:szCs w:val="24"/>
            </w:rPr>
            <w:fldChar w:fldCharType="end"/>
          </w:r>
        </w:sdtContent>
      </w:sdt>
      <w:r w:rsidRPr="00160390">
        <w:rPr>
          <w:rFonts w:ascii="Times New Roman" w:hAnsi="Times New Roman"/>
          <w:sz w:val="24"/>
          <w:szCs w:val="24"/>
        </w:rPr>
        <w:t xml:space="preserve">. </w:t>
      </w:r>
    </w:p>
    <w:p w14:paraId="0A5EDEB5" w14:textId="77777777" w:rsidR="00BD07DA" w:rsidRPr="00867313" w:rsidRDefault="00BD07DA" w:rsidP="0007686D">
      <w:pPr>
        <w:pStyle w:val="ListParagraph"/>
        <w:numPr>
          <w:ilvl w:val="0"/>
          <w:numId w:val="5"/>
        </w:numPr>
        <w:tabs>
          <w:tab w:val="left" w:pos="284"/>
        </w:tabs>
        <w:spacing w:after="0" w:line="240" w:lineRule="auto"/>
        <w:ind w:left="426" w:hanging="426"/>
        <w:jc w:val="both"/>
        <w:rPr>
          <w:rFonts w:ascii="Times New Roman" w:hAnsi="Times New Roman"/>
          <w:b/>
          <w:bCs/>
          <w:color w:val="000000" w:themeColor="text1"/>
          <w:sz w:val="24"/>
          <w:szCs w:val="24"/>
          <w:lang w:val="en-US"/>
        </w:rPr>
      </w:pPr>
      <w:r w:rsidRPr="00867313">
        <w:rPr>
          <w:rFonts w:ascii="Times New Roman" w:hAnsi="Times New Roman"/>
          <w:b/>
          <w:bCs/>
          <w:color w:val="000000" w:themeColor="text1"/>
          <w:sz w:val="24"/>
          <w:szCs w:val="24"/>
          <w:lang w:val="en-US"/>
        </w:rPr>
        <w:t>Satu Peta Nasional</w:t>
      </w:r>
    </w:p>
    <w:p w14:paraId="74927CC0" w14:textId="2001A2D2" w:rsidR="00BD07DA" w:rsidRPr="004F13F7" w:rsidRDefault="00BD07DA" w:rsidP="00947517">
      <w:pPr>
        <w:pStyle w:val="ListParagraph"/>
        <w:tabs>
          <w:tab w:val="left" w:pos="1276"/>
        </w:tabs>
        <w:spacing w:after="0" w:line="240" w:lineRule="auto"/>
        <w:ind w:left="0" w:firstLine="284"/>
        <w:jc w:val="both"/>
        <w:rPr>
          <w:rFonts w:ascii="Times New Roman" w:hAnsi="Times New Roman"/>
          <w:sz w:val="24"/>
          <w:szCs w:val="24"/>
        </w:rPr>
      </w:pPr>
      <w:r w:rsidRPr="00160390">
        <w:rPr>
          <w:rFonts w:ascii="Times New Roman" w:hAnsi="Times New Roman"/>
          <w:sz w:val="24"/>
          <w:szCs w:val="24"/>
        </w:rPr>
        <w:t xml:space="preserve">Satu Peta Nasional atau </w:t>
      </w:r>
      <w:r w:rsidRPr="00160390">
        <w:rPr>
          <w:rFonts w:ascii="Times New Roman" w:hAnsi="Times New Roman"/>
          <w:i/>
          <w:iCs/>
          <w:sz w:val="24"/>
          <w:szCs w:val="24"/>
        </w:rPr>
        <w:t>One Map Policy</w:t>
      </w:r>
      <w:r w:rsidRPr="00160390">
        <w:rPr>
          <w:rFonts w:ascii="Times New Roman" w:hAnsi="Times New Roman"/>
          <w:sz w:val="24"/>
          <w:szCs w:val="24"/>
        </w:rPr>
        <w:t xml:space="preserve"> adalah kebijakan yang  diterbitkan oleh presiden jokowi sejak periode pertama.</w:t>
      </w:r>
      <w:r>
        <w:rPr>
          <w:rFonts w:ascii="Times New Roman" w:hAnsi="Times New Roman"/>
          <w:sz w:val="24"/>
          <w:szCs w:val="24"/>
          <w:lang w:val="en-US"/>
        </w:rPr>
        <w:t xml:space="preserve"> </w:t>
      </w:r>
      <w:r w:rsidR="004F13F7" w:rsidRPr="00160390">
        <w:rPr>
          <w:rFonts w:ascii="Times New Roman" w:hAnsi="Times New Roman"/>
          <w:sz w:val="24"/>
          <w:szCs w:val="24"/>
        </w:rPr>
        <w:t>. Aturan mengenai Satu Peta Nasional yang pertama diterbitkan yakni Peraturan Presiden No. 9 Tahun 2016 Tentang Percepatan Kebijakan Satu Peta pada Tingkat Ketelitian Peta Skala 1:50.000 dan diubah dengan Peraturan Presiden No. 23 Tahun 2020 tentan Perubahan Atas Peraturan Presiden No. 9 Tahun 2016.</w:t>
      </w:r>
      <w:r w:rsidR="004F13F7">
        <w:rPr>
          <w:rFonts w:ascii="Times New Roman" w:hAnsi="Times New Roman"/>
          <w:sz w:val="24"/>
          <w:szCs w:val="24"/>
          <w:lang w:val="en-US"/>
        </w:rPr>
        <w:t xml:space="preserve"> </w:t>
      </w:r>
      <w:r>
        <w:rPr>
          <w:rFonts w:ascii="Times New Roman" w:hAnsi="Times New Roman"/>
          <w:sz w:val="24"/>
          <w:szCs w:val="24"/>
          <w:lang w:val="en-US"/>
        </w:rPr>
        <w:t>Satu Peta Nasional bertujuan untuk mengatasi kasus tumpang tindih lahan yang sering terjadi karena tidak adanya data yang jelas. Terutama kasus tumpang tindih lahan sering dialami pada industri kelapa sawit</w:t>
      </w:r>
      <w:r w:rsidR="00B80241">
        <w:rPr>
          <w:rFonts w:ascii="Times New Roman" w:hAnsi="Times New Roman"/>
          <w:sz w:val="24"/>
          <w:szCs w:val="24"/>
          <w:lang w:val="en-US"/>
        </w:rPr>
        <w:t xml:space="preserve"> (Christiawan, 2022).</w:t>
      </w:r>
    </w:p>
    <w:p w14:paraId="32C8B807" w14:textId="3157FE04" w:rsidR="00BD07DA" w:rsidRPr="00867313" w:rsidRDefault="00BD07DA" w:rsidP="0007686D">
      <w:pPr>
        <w:pStyle w:val="ListParagraph"/>
        <w:numPr>
          <w:ilvl w:val="0"/>
          <w:numId w:val="5"/>
        </w:numPr>
        <w:spacing w:after="0" w:line="240" w:lineRule="auto"/>
        <w:ind w:left="284" w:hanging="284"/>
        <w:jc w:val="both"/>
        <w:rPr>
          <w:rFonts w:ascii="Times New Roman" w:hAnsi="Times New Roman"/>
          <w:b/>
          <w:bCs/>
          <w:color w:val="000000" w:themeColor="text1"/>
          <w:sz w:val="24"/>
          <w:szCs w:val="24"/>
          <w:lang w:val="en-US"/>
        </w:rPr>
      </w:pPr>
      <w:r w:rsidRPr="00867313">
        <w:rPr>
          <w:rFonts w:ascii="Times New Roman" w:hAnsi="Times New Roman"/>
          <w:b/>
          <w:bCs/>
          <w:color w:val="000000" w:themeColor="text1"/>
          <w:sz w:val="24"/>
          <w:szCs w:val="24"/>
          <w:lang w:val="en-US"/>
        </w:rPr>
        <w:t>Kerjasama Indonesia – Belanda untuk kelapa sawit yang berkelanjutan</w:t>
      </w:r>
    </w:p>
    <w:p w14:paraId="502C61B5" w14:textId="77777777" w:rsidR="00744068" w:rsidRPr="001462BB" w:rsidRDefault="004F13F7" w:rsidP="00947517">
      <w:pPr>
        <w:pStyle w:val="ListParagraph"/>
        <w:tabs>
          <w:tab w:val="left" w:pos="1276"/>
        </w:tabs>
        <w:spacing w:after="0" w:line="240" w:lineRule="auto"/>
        <w:ind w:left="0" w:firstLine="284"/>
        <w:jc w:val="both"/>
        <w:rPr>
          <w:rFonts w:ascii="Times New Roman" w:hAnsi="Times New Roman"/>
          <w:sz w:val="24"/>
          <w:szCs w:val="24"/>
        </w:rPr>
      </w:pPr>
      <w:r w:rsidRPr="00160390">
        <w:rPr>
          <w:rFonts w:ascii="Times New Roman" w:hAnsi="Times New Roman"/>
          <w:sz w:val="24"/>
          <w:szCs w:val="24"/>
        </w:rPr>
        <w:t xml:space="preserve">Pada tanggal 26 September 2019, Indonesia dan Belanda menandatangai </w:t>
      </w:r>
      <w:r w:rsidRPr="00D34B3F">
        <w:rPr>
          <w:rFonts w:ascii="Times New Roman" w:hAnsi="Times New Roman"/>
          <w:i/>
          <w:iCs/>
          <w:sz w:val="24"/>
          <w:szCs w:val="24"/>
        </w:rPr>
        <w:t>Memorandum of Understanding Join Production on Sustainable Palm Oil</w:t>
      </w:r>
      <w:r w:rsidRPr="00160390">
        <w:rPr>
          <w:rFonts w:ascii="Times New Roman" w:hAnsi="Times New Roman"/>
          <w:sz w:val="24"/>
          <w:szCs w:val="24"/>
        </w:rPr>
        <w:t xml:space="preserve"> yang ditandatangani oleh Menteri Luar Negeri RI dan Menteri Perdagangan Luar Negeri dan Kerjasama Pembangunan Belanda. Kerjasama ini memfokuskan pada pemberdayaan petani kecil dalam memenuhi sertifikasi ISPO dilaksanakan dalam 5 tahun dari tahun 2019 sampai dengan tahun 2023 (Syaifullah, 2020).</w:t>
      </w:r>
    </w:p>
    <w:p w14:paraId="4E7F86C7" w14:textId="76B8C6AA" w:rsidR="00744068" w:rsidRPr="00744068" w:rsidRDefault="00744068" w:rsidP="00947517">
      <w:pPr>
        <w:pStyle w:val="ListParagraph"/>
        <w:tabs>
          <w:tab w:val="left" w:pos="1276"/>
        </w:tabs>
        <w:spacing w:after="0" w:line="240" w:lineRule="auto"/>
        <w:ind w:left="0" w:firstLine="284"/>
        <w:jc w:val="both"/>
        <w:rPr>
          <w:rFonts w:ascii="Times New Roman" w:hAnsi="Times New Roman"/>
          <w:sz w:val="24"/>
          <w:szCs w:val="24"/>
          <w:lang w:val="en-US"/>
        </w:rPr>
      </w:pPr>
      <w:r w:rsidRPr="00160390">
        <w:rPr>
          <w:rFonts w:ascii="Times New Roman" w:hAnsi="Times New Roman"/>
          <w:sz w:val="24"/>
          <w:szCs w:val="24"/>
        </w:rPr>
        <w:t>Belanda sendiri merupakan salah satu negara yang menolak adanya pelarangan terhadap CPO dan salah satu negara importir CPO terbesar di UE, sekitar 15% ekspor Indonesia adalah ke Belanda. Belanda juga berpandangan perlunya meningkatkan dialog dan kerjasama yang lebih erat dengan negara penghasil CPO (BPDP, 2021)</w:t>
      </w:r>
      <w:r>
        <w:rPr>
          <w:rFonts w:ascii="Times New Roman" w:hAnsi="Times New Roman"/>
          <w:sz w:val="24"/>
          <w:szCs w:val="24"/>
          <w:lang w:val="en-US"/>
        </w:rPr>
        <w:t>.</w:t>
      </w:r>
    </w:p>
    <w:p w14:paraId="56664B27" w14:textId="77777777" w:rsidR="00BD07DA" w:rsidRPr="00867313" w:rsidRDefault="00BD07DA" w:rsidP="0007686D">
      <w:pPr>
        <w:pStyle w:val="ListParagraph"/>
        <w:numPr>
          <w:ilvl w:val="0"/>
          <w:numId w:val="5"/>
        </w:numPr>
        <w:spacing w:after="0" w:line="240" w:lineRule="auto"/>
        <w:ind w:left="284" w:hanging="284"/>
        <w:jc w:val="both"/>
        <w:rPr>
          <w:rFonts w:ascii="Times New Roman" w:hAnsi="Times New Roman"/>
          <w:b/>
          <w:bCs/>
          <w:color w:val="000000" w:themeColor="text1"/>
          <w:sz w:val="24"/>
          <w:szCs w:val="24"/>
          <w:lang w:val="en-US"/>
        </w:rPr>
      </w:pPr>
      <w:r w:rsidRPr="00867313">
        <w:rPr>
          <w:rFonts w:ascii="Times New Roman" w:hAnsi="Times New Roman"/>
          <w:b/>
          <w:bCs/>
          <w:color w:val="000000" w:themeColor="text1"/>
          <w:sz w:val="24"/>
          <w:szCs w:val="24"/>
          <w:lang w:val="en-US"/>
        </w:rPr>
        <w:t>Perjanjian Dagang CPO Indonesia – Swiss</w:t>
      </w:r>
    </w:p>
    <w:p w14:paraId="3FE24B76" w14:textId="7B1A606B" w:rsidR="00744068" w:rsidRPr="00744068" w:rsidRDefault="00BD07DA" w:rsidP="00947517">
      <w:pPr>
        <w:pStyle w:val="ListParagraph"/>
        <w:spacing w:after="0" w:line="240" w:lineRule="auto"/>
        <w:ind w:left="0" w:firstLine="567"/>
        <w:jc w:val="both"/>
        <w:rPr>
          <w:rFonts w:ascii="Times New Roman" w:hAnsi="Times New Roman"/>
          <w:sz w:val="24"/>
          <w:szCs w:val="24"/>
          <w:lang w:val="en-US"/>
        </w:rPr>
      </w:pPr>
      <w:r>
        <w:rPr>
          <w:rFonts w:ascii="Times New Roman" w:hAnsi="Times New Roman"/>
          <w:color w:val="000000" w:themeColor="text1"/>
          <w:sz w:val="24"/>
          <w:szCs w:val="24"/>
          <w:lang w:val="en-US"/>
        </w:rPr>
        <w:t>Perjanjian ini telah ditandatangani sejak tahun 2018, dan baru di tahun 2019 disetujui oleh parlemen Swiss. Perjanjian ini menyetujui kesepakatan perdagangan bebas Swiss dengan Indonesia. Berdasarkan perjanjian ini CPO akan masuk ke Swiss dengan pemotongan tarif 20%-40%. Begitu pun sebaliknya barang yang berasal dari Swiss masuk ke Indonesia</w:t>
      </w:r>
      <w:r w:rsidR="00744068">
        <w:rPr>
          <w:rFonts w:ascii="Times New Roman" w:hAnsi="Times New Roman"/>
          <w:color w:val="000000" w:themeColor="text1"/>
          <w:sz w:val="24"/>
          <w:szCs w:val="24"/>
          <w:lang w:val="en-US"/>
        </w:rPr>
        <w:t xml:space="preserve">. </w:t>
      </w:r>
      <w:r w:rsidR="00744068" w:rsidRPr="00160390">
        <w:rPr>
          <w:rFonts w:ascii="Times New Roman" w:hAnsi="Times New Roman"/>
          <w:sz w:val="24"/>
          <w:szCs w:val="24"/>
        </w:rPr>
        <w:t>Awalnya terjadi kontroversi mengenai keberlanjutan impor CPO Indonesia sehingga dilakukan pemungutan suara atas perjanjian tersebut namu</w:t>
      </w:r>
      <w:r w:rsidR="00744068">
        <w:rPr>
          <w:rFonts w:ascii="Times New Roman" w:hAnsi="Times New Roman"/>
          <w:sz w:val="24"/>
          <w:szCs w:val="24"/>
        </w:rPr>
        <w:t>n</w:t>
      </w:r>
      <w:r w:rsidR="00744068" w:rsidRPr="00160390">
        <w:rPr>
          <w:rFonts w:ascii="Times New Roman" w:hAnsi="Times New Roman"/>
          <w:sz w:val="24"/>
          <w:szCs w:val="24"/>
        </w:rPr>
        <w:t xml:space="preserve"> akhirnya menghasilkan 51,7% publik di Swiss yang setuju terhadap perjanjian dagang tersebut</w:t>
      </w:r>
      <w:sdt>
        <w:sdtPr>
          <w:rPr>
            <w:rFonts w:ascii="Times New Roman" w:hAnsi="Times New Roman"/>
            <w:sz w:val="24"/>
            <w:szCs w:val="24"/>
          </w:rPr>
          <w:id w:val="1954739755"/>
          <w:citation/>
        </w:sdtPr>
        <w:sdtEndPr/>
        <w:sdtContent>
          <w:r w:rsidR="00744068" w:rsidRPr="00160390">
            <w:rPr>
              <w:rFonts w:ascii="Times New Roman" w:hAnsi="Times New Roman"/>
              <w:sz w:val="24"/>
              <w:szCs w:val="24"/>
            </w:rPr>
            <w:fldChar w:fldCharType="begin"/>
          </w:r>
          <w:r w:rsidR="00744068" w:rsidRPr="00160390">
            <w:rPr>
              <w:rFonts w:ascii="Times New Roman" w:hAnsi="Times New Roman"/>
              <w:sz w:val="24"/>
              <w:szCs w:val="24"/>
            </w:rPr>
            <w:instrText xml:space="preserve"> CITATION DW21 \l 1033 </w:instrText>
          </w:r>
          <w:r w:rsidR="00744068" w:rsidRPr="00160390">
            <w:rPr>
              <w:rFonts w:ascii="Times New Roman" w:hAnsi="Times New Roman"/>
              <w:sz w:val="24"/>
              <w:szCs w:val="24"/>
            </w:rPr>
            <w:fldChar w:fldCharType="separate"/>
          </w:r>
          <w:r w:rsidR="00744068" w:rsidRPr="00160390">
            <w:rPr>
              <w:rFonts w:ascii="Times New Roman" w:hAnsi="Times New Roman"/>
              <w:noProof/>
              <w:sz w:val="24"/>
              <w:szCs w:val="24"/>
            </w:rPr>
            <w:t xml:space="preserve"> (DW, 2021)</w:t>
          </w:r>
          <w:r w:rsidR="00744068" w:rsidRPr="00160390">
            <w:rPr>
              <w:rFonts w:ascii="Times New Roman" w:hAnsi="Times New Roman"/>
              <w:sz w:val="24"/>
              <w:szCs w:val="24"/>
            </w:rPr>
            <w:fldChar w:fldCharType="end"/>
          </w:r>
        </w:sdtContent>
      </w:sdt>
      <w:r w:rsidR="00744068" w:rsidRPr="00160390">
        <w:rPr>
          <w:rFonts w:ascii="Times New Roman" w:hAnsi="Times New Roman"/>
          <w:sz w:val="24"/>
          <w:szCs w:val="24"/>
        </w:rPr>
        <w:t>.</w:t>
      </w:r>
      <w:r w:rsidR="00744068">
        <w:rPr>
          <w:rFonts w:ascii="Times New Roman" w:hAnsi="Times New Roman"/>
          <w:sz w:val="24"/>
          <w:szCs w:val="24"/>
          <w:lang w:val="en-US"/>
        </w:rPr>
        <w:t xml:space="preserve"> Perjanjian ini tentu menjadi kesempatan Indonesia untuk membuktikan jika CPO bukan produk yang negatif seperti yang sering dituduhkan oleh UE. </w:t>
      </w:r>
    </w:p>
    <w:p w14:paraId="3E24568A" w14:textId="77777777" w:rsidR="00BD07DA" w:rsidRPr="00867313" w:rsidRDefault="00BD07DA" w:rsidP="0007686D">
      <w:pPr>
        <w:pStyle w:val="ListParagraph"/>
        <w:numPr>
          <w:ilvl w:val="0"/>
          <w:numId w:val="5"/>
        </w:numPr>
        <w:spacing w:after="0" w:line="240" w:lineRule="auto"/>
        <w:ind w:left="284" w:hanging="284"/>
        <w:jc w:val="both"/>
        <w:rPr>
          <w:rFonts w:ascii="Times New Roman" w:hAnsi="Times New Roman"/>
          <w:b/>
          <w:bCs/>
          <w:color w:val="000000" w:themeColor="text1"/>
          <w:sz w:val="24"/>
          <w:szCs w:val="24"/>
          <w:lang w:val="en-US"/>
        </w:rPr>
      </w:pPr>
      <w:r w:rsidRPr="00867313">
        <w:rPr>
          <w:rFonts w:ascii="Times New Roman" w:hAnsi="Times New Roman"/>
          <w:b/>
          <w:bCs/>
          <w:i/>
          <w:iCs/>
          <w:color w:val="000000" w:themeColor="text1"/>
          <w:sz w:val="24"/>
          <w:szCs w:val="24"/>
          <w:lang w:val="en-US"/>
        </w:rPr>
        <w:t>Ministerial Meeting of Palm Oil Producing Countries</w:t>
      </w:r>
      <w:r w:rsidRPr="00867313">
        <w:rPr>
          <w:rFonts w:ascii="Times New Roman" w:hAnsi="Times New Roman"/>
          <w:b/>
          <w:bCs/>
          <w:color w:val="000000" w:themeColor="text1"/>
          <w:sz w:val="24"/>
          <w:szCs w:val="24"/>
          <w:lang w:val="en-US"/>
        </w:rPr>
        <w:t xml:space="preserve"> (MMPOPC)</w:t>
      </w:r>
    </w:p>
    <w:p w14:paraId="1318BB2F" w14:textId="05003581" w:rsidR="00BD07DA" w:rsidRDefault="00BD07DA" w:rsidP="00947517">
      <w:pPr>
        <w:pStyle w:val="ListParagraph"/>
        <w:spacing w:after="0" w:line="240" w:lineRule="auto"/>
        <w:ind w:left="0" w:firstLine="284"/>
        <w:jc w:val="both"/>
        <w:rPr>
          <w:rFonts w:ascii="Times New Roman" w:hAnsi="Times New Roman"/>
          <w:sz w:val="24"/>
          <w:szCs w:val="24"/>
          <w:lang w:val="en-US"/>
        </w:rPr>
      </w:pPr>
      <w:r w:rsidRPr="00160390">
        <w:rPr>
          <w:rFonts w:ascii="Times New Roman" w:hAnsi="Times New Roman"/>
          <w:sz w:val="24"/>
          <w:szCs w:val="24"/>
        </w:rPr>
        <w:t xml:space="preserve">Pada tanggal 17-18 November 2019, negara-negara yang menjadi penghasil kelapa sawit  Malaysia, Indonesia, Honduras, Thailand, Brazil, Nigeria, Ghana, Papua Nugini </w:t>
      </w:r>
      <w:r w:rsidRPr="00160390">
        <w:rPr>
          <w:rFonts w:ascii="Times New Roman" w:hAnsi="Times New Roman"/>
          <w:sz w:val="24"/>
          <w:szCs w:val="24"/>
        </w:rPr>
        <w:lastRenderedPageBreak/>
        <w:t xml:space="preserve">yang tergabung di </w:t>
      </w:r>
      <w:r w:rsidRPr="00160390">
        <w:rPr>
          <w:rFonts w:ascii="Times New Roman" w:hAnsi="Times New Roman"/>
          <w:i/>
          <w:iCs/>
          <w:sz w:val="24"/>
          <w:szCs w:val="24"/>
        </w:rPr>
        <w:t>Council of Palm Oil Producing Countries</w:t>
      </w:r>
      <w:r w:rsidRPr="00160390">
        <w:rPr>
          <w:rFonts w:ascii="Times New Roman" w:hAnsi="Times New Roman"/>
          <w:sz w:val="24"/>
          <w:szCs w:val="24"/>
        </w:rPr>
        <w:t xml:space="preserve"> (CPOPC) melakukan pertemuan MMPOPC bertempat di Kuala Lumpur, Malaysia</w:t>
      </w:r>
      <w:r>
        <w:rPr>
          <w:rFonts w:ascii="Times New Roman" w:hAnsi="Times New Roman"/>
          <w:sz w:val="24"/>
          <w:szCs w:val="24"/>
          <w:lang w:val="en-US"/>
        </w:rPr>
        <w:t>.</w:t>
      </w:r>
    </w:p>
    <w:p w14:paraId="33DB8582" w14:textId="0739D4C1" w:rsidR="009C3A78" w:rsidRPr="001462BB" w:rsidRDefault="00947517" w:rsidP="00947517">
      <w:pPr>
        <w:pStyle w:val="ListParagraph"/>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ab/>
      </w:r>
      <w:r w:rsidR="00744068" w:rsidRPr="00160390">
        <w:rPr>
          <w:rFonts w:ascii="Times New Roman" w:hAnsi="Times New Roman"/>
          <w:sz w:val="24"/>
          <w:szCs w:val="24"/>
        </w:rPr>
        <w:t>Menteri Koordinator Indonesia, Airlangga Hartanto menjadi wakil pada pertemuan tersebut. Pertemuan tersebut menyepakati beberapa hal yang mana hal tersebut untuk meningkatkan kualitas harga untuk para petani dan rakyat, melaksanakan promosi atas produk kelapa sawit ke pasar global, berkomitmen untuk membuat komoditas kelapa sawit yang berkelanjutan, mengundang negara penghasil minyak kelapa sawit agar bisa bergabung dalam CPOPC, dan meningkatkan kesejahteraan untuk perkebunan milik rakyat (Setyowati, 2019).</w:t>
      </w:r>
    </w:p>
    <w:p w14:paraId="36D1C5C1" w14:textId="77777777" w:rsidR="00BD07DA" w:rsidRPr="00867313" w:rsidRDefault="00BD07DA" w:rsidP="0007686D">
      <w:pPr>
        <w:pStyle w:val="ListParagraph"/>
        <w:numPr>
          <w:ilvl w:val="0"/>
          <w:numId w:val="5"/>
        </w:numPr>
        <w:spacing w:after="0" w:line="240" w:lineRule="auto"/>
        <w:ind w:left="284" w:hanging="284"/>
        <w:jc w:val="both"/>
        <w:rPr>
          <w:rFonts w:ascii="Times New Roman" w:hAnsi="Times New Roman"/>
          <w:b/>
          <w:bCs/>
          <w:color w:val="000000" w:themeColor="text1"/>
          <w:sz w:val="24"/>
          <w:szCs w:val="24"/>
          <w:lang w:val="en-US"/>
        </w:rPr>
      </w:pPr>
      <w:r w:rsidRPr="00867313">
        <w:rPr>
          <w:rFonts w:ascii="Times New Roman" w:hAnsi="Times New Roman"/>
          <w:b/>
          <w:bCs/>
          <w:color w:val="000000" w:themeColor="text1"/>
          <w:sz w:val="24"/>
          <w:szCs w:val="24"/>
          <w:lang w:val="en-US"/>
        </w:rPr>
        <w:t xml:space="preserve">Diplomasi </w:t>
      </w:r>
      <w:r w:rsidRPr="00867313">
        <w:rPr>
          <w:rFonts w:ascii="Times New Roman" w:hAnsi="Times New Roman"/>
          <w:b/>
          <w:bCs/>
          <w:i/>
          <w:iCs/>
          <w:color w:val="000000" w:themeColor="text1"/>
          <w:sz w:val="24"/>
          <w:szCs w:val="24"/>
          <w:lang w:val="en-US"/>
        </w:rPr>
        <w:t>Joint Mission</w:t>
      </w:r>
      <w:r w:rsidRPr="00867313">
        <w:rPr>
          <w:rFonts w:ascii="Times New Roman" w:hAnsi="Times New Roman"/>
          <w:b/>
          <w:bCs/>
          <w:color w:val="000000" w:themeColor="text1"/>
          <w:sz w:val="24"/>
          <w:szCs w:val="24"/>
          <w:lang w:val="en-US"/>
        </w:rPr>
        <w:t xml:space="preserve"> sawit ke Uni Eropa</w:t>
      </w:r>
    </w:p>
    <w:p w14:paraId="3CF42E22" w14:textId="283E103F" w:rsidR="001B6941" w:rsidRDefault="00BD07DA" w:rsidP="001B6941">
      <w:pPr>
        <w:pStyle w:val="ListParagraph"/>
        <w:tabs>
          <w:tab w:val="left" w:pos="1276"/>
        </w:tabs>
        <w:spacing w:after="0" w:line="240" w:lineRule="auto"/>
        <w:ind w:left="0" w:firstLine="284"/>
        <w:jc w:val="both"/>
        <w:rPr>
          <w:rFonts w:ascii="Times New Roman" w:hAnsi="Times New Roman"/>
          <w:sz w:val="24"/>
          <w:szCs w:val="24"/>
        </w:rPr>
      </w:pPr>
      <w:r>
        <w:rPr>
          <w:rFonts w:ascii="Times New Roman" w:hAnsi="Times New Roman"/>
          <w:color w:val="000000" w:themeColor="text1"/>
          <w:sz w:val="24"/>
          <w:szCs w:val="24"/>
          <w:lang w:val="en-US"/>
        </w:rPr>
        <w:t>Diplomasi Joint Mission Sawit ke Uni Eropa yang dilakukan oleh Indonesia, Malaysia, dan Kolombia di Belgia pada 8-9 April 2019 untuk menyampaikan keberatan terhadap RED II dan D</w:t>
      </w:r>
      <w:r w:rsidRPr="001B6941">
        <w:rPr>
          <w:rFonts w:ascii="Times New Roman" w:hAnsi="Times New Roman"/>
          <w:i/>
          <w:iCs/>
          <w:color w:val="000000" w:themeColor="text1"/>
          <w:sz w:val="24"/>
          <w:szCs w:val="24"/>
          <w:lang w:val="en-US"/>
        </w:rPr>
        <w:t>elegated Regulatio</w:t>
      </w:r>
      <w:r w:rsidR="001B6941">
        <w:rPr>
          <w:rFonts w:ascii="Times New Roman" w:hAnsi="Times New Roman"/>
          <w:i/>
          <w:iCs/>
          <w:color w:val="000000" w:themeColor="text1"/>
          <w:sz w:val="24"/>
          <w:szCs w:val="24"/>
          <w:lang w:val="en-US"/>
        </w:rPr>
        <w:t xml:space="preserve">. </w:t>
      </w:r>
      <w:r w:rsidR="001B6941" w:rsidRPr="00160390">
        <w:rPr>
          <w:rFonts w:ascii="Times New Roman" w:hAnsi="Times New Roman"/>
          <w:sz w:val="24"/>
          <w:szCs w:val="24"/>
        </w:rPr>
        <w:t>Indonesia</w:t>
      </w:r>
      <w:r w:rsidR="001B6941">
        <w:rPr>
          <w:rFonts w:ascii="Times New Roman" w:hAnsi="Times New Roman"/>
          <w:sz w:val="24"/>
          <w:szCs w:val="24"/>
        </w:rPr>
        <w:t xml:space="preserve"> diwakili oleh delegasi dari Kementerian Koordinator Bidang Perekonomian. Delegasi telah menemui berbagai pihak UE  yaitu Heidi Hautala Wakil Presiden Parlemen Eropa dan beberapa anggota parlemen; Komisi Eropa yaitu Miguel Arias Canete (</w:t>
      </w:r>
      <w:r w:rsidR="001B6941" w:rsidRPr="00BB1F3C">
        <w:rPr>
          <w:rFonts w:ascii="Times New Roman" w:hAnsi="Times New Roman"/>
          <w:i/>
          <w:iCs/>
          <w:sz w:val="24"/>
          <w:szCs w:val="24"/>
        </w:rPr>
        <w:t>Commissioner for Climate Action and Energy</w:t>
      </w:r>
      <w:r w:rsidR="001B6941">
        <w:rPr>
          <w:rFonts w:ascii="Times New Roman" w:hAnsi="Times New Roman"/>
          <w:sz w:val="24"/>
          <w:szCs w:val="24"/>
        </w:rPr>
        <w:t>) dan Karmeru Vella (</w:t>
      </w:r>
      <w:r w:rsidR="001B6941" w:rsidRPr="00BB1F3C">
        <w:rPr>
          <w:rFonts w:ascii="Times New Roman" w:hAnsi="Times New Roman"/>
          <w:i/>
          <w:iCs/>
          <w:sz w:val="24"/>
          <w:szCs w:val="24"/>
        </w:rPr>
        <w:t>Commissioner Environment, Maritime Affairs &amp; Fisheries</w:t>
      </w:r>
      <w:r w:rsidR="001B6941">
        <w:rPr>
          <w:rFonts w:ascii="Times New Roman" w:hAnsi="Times New Roman"/>
          <w:sz w:val="24"/>
          <w:szCs w:val="24"/>
        </w:rPr>
        <w:t>); Dewan Eropa yaitu Jaroslaw Pietras (</w:t>
      </w:r>
      <w:r w:rsidR="001B6941" w:rsidRPr="00BD52B2">
        <w:rPr>
          <w:rFonts w:ascii="Times New Roman" w:hAnsi="Times New Roman"/>
          <w:i/>
          <w:iCs/>
          <w:sz w:val="24"/>
          <w:szCs w:val="24"/>
        </w:rPr>
        <w:t>DG of Transport, Energy, Environment, Education, General Secretariat of European Council</w:t>
      </w:r>
      <w:r w:rsidR="001B6941">
        <w:rPr>
          <w:rFonts w:ascii="Times New Roman" w:hAnsi="Times New Roman"/>
          <w:sz w:val="24"/>
          <w:szCs w:val="24"/>
        </w:rPr>
        <w:t>); Perusahaan bidang biodiesel (Total, Neste, ENI) dan perusahaan multinasional lain yang memiliki hubungan bisnis dengan Indonesia (Ferrero, Michelis, Airbus, dll) (Kemenko Perekonomian, 2019).</w:t>
      </w:r>
    </w:p>
    <w:p w14:paraId="791AC670" w14:textId="3992E48F" w:rsidR="00BD07DA" w:rsidRPr="001B6941" w:rsidRDefault="001B6941" w:rsidP="001B6941">
      <w:pPr>
        <w:pStyle w:val="ListParagraph"/>
        <w:tabs>
          <w:tab w:val="left" w:pos="1276"/>
        </w:tabs>
        <w:spacing w:line="240" w:lineRule="auto"/>
        <w:ind w:left="0" w:firstLine="284"/>
        <w:jc w:val="both"/>
        <w:rPr>
          <w:rFonts w:ascii="Times New Roman" w:hAnsi="Times New Roman"/>
          <w:i/>
          <w:iCs/>
          <w:sz w:val="24"/>
          <w:szCs w:val="24"/>
        </w:rPr>
      </w:pPr>
      <w:r>
        <w:rPr>
          <w:rFonts w:ascii="Times New Roman" w:hAnsi="Times New Roman"/>
          <w:sz w:val="24"/>
          <w:szCs w:val="24"/>
        </w:rPr>
        <w:t xml:space="preserve">Dalam merespon keberatan dari Indonesia ini UE hanya menyarankan adanya usulan komunikasi baru bersama dan tidak ada perubahan regulasi dari kebijakan yang sudah dibuat sebelumnya. Usulan  komunikasi ini diharapkan bisa mengubah hasil kajian sawit dari yang sebelumnya masuk dalam risiko ILUC tinggi menjadi risiko ILUC rendah. Namun, akhirnya kelapa sawit masih masuk dalam komoditas yang memiliki risiko ILUC tinggi dalam </w:t>
      </w:r>
      <w:r w:rsidRPr="00ED13BB">
        <w:rPr>
          <w:rFonts w:ascii="Times New Roman" w:hAnsi="Times New Roman"/>
          <w:i/>
          <w:iCs/>
          <w:sz w:val="24"/>
          <w:szCs w:val="24"/>
        </w:rPr>
        <w:t>Delegated Regulation</w:t>
      </w:r>
      <w:r>
        <w:rPr>
          <w:rFonts w:ascii="Times New Roman" w:hAnsi="Times New Roman"/>
          <w:i/>
          <w:iCs/>
          <w:sz w:val="24"/>
          <w:szCs w:val="24"/>
        </w:rPr>
        <w:t xml:space="preserve">. </w:t>
      </w:r>
      <w:r w:rsidRPr="00ED13BB">
        <w:rPr>
          <w:rFonts w:ascii="Times New Roman" w:hAnsi="Times New Roman"/>
          <w:sz w:val="24"/>
          <w:szCs w:val="24"/>
        </w:rPr>
        <w:t xml:space="preserve">Jadi, diplomasi </w:t>
      </w:r>
      <w:r w:rsidRPr="00ED13BB">
        <w:rPr>
          <w:rFonts w:ascii="Times New Roman" w:hAnsi="Times New Roman"/>
          <w:i/>
          <w:iCs/>
          <w:sz w:val="24"/>
          <w:szCs w:val="24"/>
        </w:rPr>
        <w:t>Joint Mission</w:t>
      </w:r>
      <w:r w:rsidRPr="00ED13BB">
        <w:rPr>
          <w:rFonts w:ascii="Times New Roman" w:hAnsi="Times New Roman"/>
          <w:sz w:val="24"/>
          <w:szCs w:val="24"/>
        </w:rPr>
        <w:t xml:space="preserve"> ke UE ini tidak membuahkan hasil dan tidak menyelesaikan sengketa di antara Indonesia dan UE sehingga hal tersebut yang membuat Indonesia mengambil langkah menuntut UE melalui WTO</w:t>
      </w:r>
      <w:r>
        <w:rPr>
          <w:rFonts w:ascii="Times New Roman" w:hAnsi="Times New Roman"/>
          <w:sz w:val="24"/>
          <w:szCs w:val="24"/>
          <w:lang w:val="en-US"/>
        </w:rPr>
        <w:t xml:space="preserve"> </w:t>
      </w:r>
      <w:r w:rsidR="00BD07DA">
        <w:rPr>
          <w:rFonts w:ascii="Times New Roman" w:hAnsi="Times New Roman"/>
          <w:color w:val="000000" w:themeColor="text1"/>
          <w:sz w:val="24"/>
          <w:szCs w:val="24"/>
          <w:lang w:val="en-US"/>
        </w:rPr>
        <w:t>karena dianggap mendiskriminasi kelapa sawit dan hal tersebut melanggar perjanjian dagang WTO pada 9 Desember 2019.</w:t>
      </w:r>
    </w:p>
    <w:p w14:paraId="52982481" w14:textId="603D2EA0" w:rsidR="007B298F" w:rsidRPr="00416C7B" w:rsidRDefault="00416C7B" w:rsidP="0007686D">
      <w:pPr>
        <w:spacing w:after="0" w:line="240" w:lineRule="auto"/>
        <w:ind w:left="709" w:hanging="709"/>
        <w:jc w:val="both"/>
        <w:rPr>
          <w:rFonts w:ascii="Times New Roman" w:hAnsi="Times New Roman"/>
          <w:b/>
          <w:bCs/>
          <w:color w:val="000000"/>
          <w:sz w:val="24"/>
          <w:szCs w:val="24"/>
          <w:lang w:val="en-AU"/>
        </w:rPr>
      </w:pPr>
      <w:r w:rsidRPr="00416C7B">
        <w:rPr>
          <w:rFonts w:ascii="Times New Roman" w:hAnsi="Times New Roman"/>
          <w:b/>
          <w:bCs/>
          <w:color w:val="000000"/>
          <w:sz w:val="24"/>
          <w:szCs w:val="24"/>
          <w:lang w:val="en-AU"/>
        </w:rPr>
        <w:t>Penyelesaian Sengketa Indonesia – UE di WTO</w:t>
      </w:r>
    </w:p>
    <w:p w14:paraId="0C04C852" w14:textId="0B31E17F" w:rsidR="00093A9B" w:rsidRDefault="00093A9B" w:rsidP="00093A9B">
      <w:pPr>
        <w:pStyle w:val="ListParagraph"/>
        <w:spacing w:after="0" w:line="240" w:lineRule="auto"/>
        <w:ind w:left="0" w:firstLine="425"/>
        <w:jc w:val="both"/>
        <w:rPr>
          <w:rFonts w:ascii="Times New Roman" w:hAnsi="Times New Roman"/>
          <w:sz w:val="24"/>
          <w:szCs w:val="24"/>
        </w:rPr>
      </w:pPr>
      <w:r w:rsidRPr="00160390">
        <w:rPr>
          <w:rFonts w:ascii="Times New Roman" w:hAnsi="Times New Roman"/>
          <w:sz w:val="24"/>
          <w:szCs w:val="24"/>
        </w:rPr>
        <w:t xml:space="preserve">Upaya yang dilakukan oleh pemerintah Indonesia agar kelapa sawit Indonesia lolos di pasar sawit UE belum berhasil karena UE masih menolak CPO Indonesia yang dianggap menyebabkan deforestasi yang tidak sesuai dengan kebijakan RED II dan </w:t>
      </w:r>
      <w:r w:rsidRPr="00160390">
        <w:rPr>
          <w:rFonts w:ascii="Times New Roman" w:hAnsi="Times New Roman"/>
          <w:i/>
          <w:iCs/>
          <w:sz w:val="24"/>
          <w:szCs w:val="24"/>
        </w:rPr>
        <w:t>Delegate Regulation</w:t>
      </w:r>
      <w:r w:rsidRPr="00160390">
        <w:rPr>
          <w:rFonts w:ascii="Times New Roman" w:hAnsi="Times New Roman"/>
          <w:sz w:val="24"/>
          <w:szCs w:val="24"/>
        </w:rPr>
        <w:t xml:space="preserve"> oleh karena itu pemerintah Indonesia tanggal 9 Desember 2019 mengajukan gugatan terhadap UE ke WTO. </w:t>
      </w:r>
    </w:p>
    <w:p w14:paraId="00D4ADF3" w14:textId="7B319634" w:rsidR="004B043D" w:rsidRPr="00867313" w:rsidRDefault="00093A9B" w:rsidP="00867313">
      <w:pPr>
        <w:pStyle w:val="ListParagraph"/>
        <w:spacing w:after="0" w:line="240" w:lineRule="auto"/>
        <w:ind w:left="0" w:firstLine="709"/>
        <w:jc w:val="both"/>
        <w:rPr>
          <w:rFonts w:ascii="Times New Roman" w:hAnsi="Times New Roman"/>
          <w:sz w:val="24"/>
          <w:szCs w:val="24"/>
          <w:lang w:val="en-US"/>
        </w:rPr>
      </w:pPr>
      <w:r w:rsidRPr="00160390">
        <w:rPr>
          <w:rFonts w:ascii="Times New Roman" w:hAnsi="Times New Roman"/>
          <w:i/>
          <w:iCs/>
          <w:sz w:val="24"/>
          <w:szCs w:val="24"/>
        </w:rPr>
        <w:t xml:space="preserve">World Trade Organization </w:t>
      </w:r>
      <w:r w:rsidRPr="00160390">
        <w:rPr>
          <w:rFonts w:ascii="Times New Roman" w:hAnsi="Times New Roman"/>
          <w:sz w:val="24"/>
          <w:szCs w:val="24"/>
        </w:rPr>
        <w:t>(WTO)</w:t>
      </w:r>
      <w:r w:rsidRPr="00160390">
        <w:rPr>
          <w:rFonts w:ascii="Times New Roman" w:hAnsi="Times New Roman"/>
          <w:i/>
          <w:iCs/>
          <w:sz w:val="24"/>
          <w:szCs w:val="24"/>
        </w:rPr>
        <w:t xml:space="preserve"> </w:t>
      </w:r>
      <w:r w:rsidRPr="00160390">
        <w:rPr>
          <w:rFonts w:ascii="Times New Roman" w:hAnsi="Times New Roman"/>
          <w:sz w:val="24"/>
          <w:szCs w:val="24"/>
        </w:rPr>
        <w:t xml:space="preserve">memiliki sebuah dewan yang khusus untuk menyelesaikan suatu konflik atau sengketa antar negara anggota WTO yang disebut dengan </w:t>
      </w:r>
      <w:r w:rsidRPr="00160390">
        <w:rPr>
          <w:rFonts w:ascii="Times New Roman" w:hAnsi="Times New Roman"/>
          <w:i/>
          <w:iCs/>
          <w:sz w:val="24"/>
          <w:szCs w:val="24"/>
        </w:rPr>
        <w:t>Dispute Settlement Body</w:t>
      </w:r>
      <w:r w:rsidRPr="00160390">
        <w:rPr>
          <w:rFonts w:ascii="Times New Roman" w:hAnsi="Times New Roman"/>
          <w:sz w:val="24"/>
          <w:szCs w:val="24"/>
        </w:rPr>
        <w:t xml:space="preserve"> (DSB). DSB telah masuk kedalam aturan khusus WTO yaitu </w:t>
      </w:r>
      <w:r w:rsidRPr="00160390">
        <w:rPr>
          <w:rFonts w:ascii="Times New Roman" w:hAnsi="Times New Roman"/>
          <w:i/>
          <w:iCs/>
          <w:sz w:val="24"/>
          <w:szCs w:val="24"/>
        </w:rPr>
        <w:t>The Dispute Settlement Understanding of The WTO Agreetment</w:t>
      </w:r>
      <w:r w:rsidRPr="00160390">
        <w:rPr>
          <w:rFonts w:ascii="Times New Roman" w:hAnsi="Times New Roman"/>
          <w:sz w:val="24"/>
          <w:szCs w:val="24"/>
        </w:rPr>
        <w:t xml:space="preserve"> (DSU). DSB memiliki peran yang penting untuk memelihara dan melaksanakan kebijakan dari GATT dan perjanjian WTO. Melalui DSB, menyelesaikan masalahnya dengan cara yang dama</w:t>
      </w:r>
      <w:r>
        <w:rPr>
          <w:rFonts w:ascii="Times New Roman" w:hAnsi="Times New Roman"/>
          <w:sz w:val="24"/>
          <w:szCs w:val="24"/>
          <w:lang w:val="en-US"/>
        </w:rPr>
        <w:t xml:space="preserve">i. </w:t>
      </w:r>
    </w:p>
    <w:p w14:paraId="725B398C" w14:textId="7B9544F6" w:rsidR="004B043D" w:rsidRPr="00F77C4B" w:rsidRDefault="004B043D" w:rsidP="00947517">
      <w:pPr>
        <w:pStyle w:val="ListParagraph"/>
        <w:numPr>
          <w:ilvl w:val="0"/>
          <w:numId w:val="3"/>
        </w:numPr>
        <w:spacing w:after="0" w:line="240" w:lineRule="auto"/>
        <w:ind w:left="426"/>
        <w:jc w:val="both"/>
        <w:rPr>
          <w:rFonts w:ascii="Times New Roman" w:hAnsi="Times New Roman"/>
          <w:b/>
          <w:bCs/>
          <w:sz w:val="24"/>
          <w:szCs w:val="24"/>
          <w:lang w:val="en-US"/>
        </w:rPr>
      </w:pPr>
      <w:r w:rsidRPr="00F77C4B">
        <w:rPr>
          <w:rFonts w:ascii="Times New Roman" w:hAnsi="Times New Roman"/>
          <w:b/>
          <w:bCs/>
          <w:sz w:val="24"/>
          <w:szCs w:val="24"/>
          <w:lang w:val="en-US"/>
        </w:rPr>
        <w:t>Gugatan Indonesia UE ke WTO</w:t>
      </w:r>
    </w:p>
    <w:p w14:paraId="3F5ADAB9" w14:textId="28D562FC" w:rsidR="00BD657A" w:rsidRDefault="00093A9B" w:rsidP="00947517">
      <w:pPr>
        <w:pStyle w:val="ListParagraph"/>
        <w:spacing w:after="0" w:line="240" w:lineRule="auto"/>
        <w:ind w:left="0" w:firstLine="426"/>
        <w:jc w:val="both"/>
        <w:rPr>
          <w:rFonts w:ascii="Times New Roman" w:hAnsi="Times New Roman"/>
          <w:sz w:val="24"/>
          <w:szCs w:val="24"/>
          <w:lang w:val="en-US"/>
        </w:rPr>
      </w:pPr>
      <w:r>
        <w:rPr>
          <w:rFonts w:ascii="Times New Roman" w:hAnsi="Times New Roman"/>
          <w:sz w:val="24"/>
          <w:szCs w:val="24"/>
          <w:lang w:val="en-US"/>
        </w:rPr>
        <w:t xml:space="preserve">Dalam gugatanya Indonesia </w:t>
      </w:r>
      <w:r w:rsidR="00BD657A">
        <w:rPr>
          <w:rFonts w:ascii="Times New Roman" w:hAnsi="Times New Roman"/>
          <w:sz w:val="24"/>
          <w:szCs w:val="24"/>
          <w:lang w:val="en-US"/>
        </w:rPr>
        <w:t xml:space="preserve">di WTO, Indonesia </w:t>
      </w:r>
      <w:r>
        <w:rPr>
          <w:rFonts w:ascii="Times New Roman" w:hAnsi="Times New Roman"/>
          <w:sz w:val="24"/>
          <w:szCs w:val="24"/>
          <w:lang w:val="en-US"/>
        </w:rPr>
        <w:t>beragumen berkaitan dengan</w:t>
      </w:r>
      <w:r w:rsidR="00BD657A">
        <w:rPr>
          <w:rFonts w:ascii="Times New Roman" w:hAnsi="Times New Roman"/>
          <w:sz w:val="24"/>
          <w:szCs w:val="24"/>
          <w:lang w:val="en-US"/>
        </w:rPr>
        <w:t xml:space="preserve"> pelanggaran UE terhadap</w:t>
      </w:r>
      <w:r>
        <w:rPr>
          <w:rFonts w:ascii="Times New Roman" w:hAnsi="Times New Roman"/>
          <w:sz w:val="24"/>
          <w:szCs w:val="24"/>
          <w:lang w:val="en-US"/>
        </w:rPr>
        <w:t xml:space="preserve"> perjanjian TBT dan GATT 1994. Bagi Indonesia pembatasan dan menghapus secara bertahap biofuel berbahan baku CPO dengan melihat kriteria </w:t>
      </w:r>
      <w:r>
        <w:rPr>
          <w:rFonts w:ascii="Times New Roman" w:hAnsi="Times New Roman"/>
          <w:sz w:val="24"/>
          <w:szCs w:val="24"/>
          <w:lang w:val="en-US"/>
        </w:rPr>
        <w:lastRenderedPageBreak/>
        <w:t>berdasarkan ILUC yang dilakukan oleh UE tersebut menciptkana hambatan yang  tidak perlu untuk perdagangan internasional CPO yang melanggar Pasal 2.2</w:t>
      </w:r>
      <w:r w:rsidR="00BD657A">
        <w:rPr>
          <w:rFonts w:ascii="Times New Roman" w:hAnsi="Times New Roman"/>
          <w:sz w:val="24"/>
          <w:szCs w:val="24"/>
          <w:lang w:val="en-US"/>
        </w:rPr>
        <w:t xml:space="preserve">, 2.4, dan 2.5 </w:t>
      </w:r>
      <w:r>
        <w:rPr>
          <w:rFonts w:ascii="Times New Roman" w:hAnsi="Times New Roman"/>
          <w:sz w:val="24"/>
          <w:szCs w:val="24"/>
          <w:lang w:val="en-US"/>
        </w:rPr>
        <w:t xml:space="preserve">Perjanjian TBT. Serta kebijakan RED II dan </w:t>
      </w:r>
      <w:r w:rsidRPr="00BD657A">
        <w:rPr>
          <w:rFonts w:ascii="Times New Roman" w:hAnsi="Times New Roman"/>
          <w:i/>
          <w:iCs/>
          <w:sz w:val="24"/>
          <w:szCs w:val="24"/>
          <w:lang w:val="en-US"/>
        </w:rPr>
        <w:t>Delegated Regulation</w:t>
      </w:r>
      <w:r>
        <w:rPr>
          <w:rFonts w:ascii="Times New Roman" w:hAnsi="Times New Roman"/>
          <w:sz w:val="24"/>
          <w:szCs w:val="24"/>
          <w:lang w:val="en-US"/>
        </w:rPr>
        <w:t xml:space="preserve"> tersebut mendiskriminasi CPO yang melanggar pasal 2.1 TBT.</w:t>
      </w:r>
      <w:r w:rsidR="00BD657A">
        <w:rPr>
          <w:rFonts w:ascii="Times New Roman" w:hAnsi="Times New Roman"/>
          <w:sz w:val="24"/>
          <w:szCs w:val="24"/>
          <w:lang w:val="en-US"/>
        </w:rPr>
        <w:t xml:space="preserve"> Deskripsi konsep ILUC tinggi yang dianggap abstrak oleh Indonesia melanggar Pasal 2.8, 2.9, dan pasal 5 Perjanjian TBT</w:t>
      </w:r>
      <w:r w:rsidR="00B80241">
        <w:rPr>
          <w:rFonts w:ascii="Times New Roman" w:hAnsi="Times New Roman"/>
          <w:sz w:val="24"/>
          <w:szCs w:val="24"/>
          <w:lang w:val="en-US"/>
        </w:rPr>
        <w:t xml:space="preserve"> (WTO, 2019)</w:t>
      </w:r>
      <w:r w:rsidR="00BD657A">
        <w:rPr>
          <w:rFonts w:ascii="Times New Roman" w:hAnsi="Times New Roman"/>
          <w:sz w:val="24"/>
          <w:szCs w:val="24"/>
          <w:lang w:val="en-US"/>
        </w:rPr>
        <w:t>.</w:t>
      </w:r>
    </w:p>
    <w:p w14:paraId="737745AE" w14:textId="55E20011" w:rsidR="00BD657A" w:rsidRDefault="00BD657A" w:rsidP="00BD657A">
      <w:pPr>
        <w:pStyle w:val="ListParagraph"/>
        <w:spacing w:after="0" w:line="240" w:lineRule="auto"/>
        <w:ind w:left="0" w:firstLine="425"/>
        <w:jc w:val="both"/>
        <w:rPr>
          <w:rFonts w:ascii="Times New Roman" w:hAnsi="Times New Roman"/>
          <w:sz w:val="24"/>
          <w:szCs w:val="24"/>
          <w:lang w:val="en-US"/>
        </w:rPr>
      </w:pPr>
      <w:r>
        <w:rPr>
          <w:rFonts w:ascii="Times New Roman" w:hAnsi="Times New Roman"/>
          <w:sz w:val="24"/>
          <w:szCs w:val="24"/>
          <w:lang w:val="en-US"/>
        </w:rPr>
        <w:t>Untuk perjanjian GATT 1994, Indonesia beragumen:</w:t>
      </w:r>
    </w:p>
    <w:p w14:paraId="5A298136" w14:textId="3C782356" w:rsidR="00BD657A" w:rsidRDefault="00BD657A" w:rsidP="00511291">
      <w:pPr>
        <w:pStyle w:val="ListParagraph"/>
        <w:numPr>
          <w:ilvl w:val="0"/>
          <w:numId w:val="2"/>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Pembatasan yang dilakukan terhadap impor CPO untuk bahan baku biofuel melanggar Pasal XI: 1, </w:t>
      </w:r>
    </w:p>
    <w:p w14:paraId="67F073B4" w14:textId="4644AB74" w:rsidR="00BD657A" w:rsidRDefault="00BD657A" w:rsidP="00511291">
      <w:pPr>
        <w:pStyle w:val="ListParagraph"/>
        <w:numPr>
          <w:ilvl w:val="0"/>
          <w:numId w:val="2"/>
        </w:numPr>
        <w:spacing w:after="0" w:line="240" w:lineRule="auto"/>
        <w:jc w:val="both"/>
        <w:rPr>
          <w:rFonts w:ascii="Times New Roman" w:hAnsi="Times New Roman"/>
          <w:sz w:val="24"/>
          <w:szCs w:val="24"/>
          <w:lang w:val="en-US"/>
        </w:rPr>
      </w:pPr>
      <w:r>
        <w:rPr>
          <w:rFonts w:ascii="Times New Roman" w:hAnsi="Times New Roman"/>
          <w:sz w:val="24"/>
          <w:szCs w:val="24"/>
          <w:lang w:val="en-US"/>
        </w:rPr>
        <w:t>Melakukan pembatasan dan menghapus secara bertahap penggunaan biofuel berbahan baku CPO dengan alasan risiko ILUC tinggi. Sedangkan tanaman lain sebagai berisiko ILUC rendah, dan dengan memaksakan kriteria keberlanjutan dan kriteria penghematan emisi GRK. Hal tersebut mendiskriminasi CPO yang mana berasal dari negara ketiga yang melanggar Pasal I: 1, dan Pasal III:4 GATT 1994.</w:t>
      </w:r>
    </w:p>
    <w:p w14:paraId="53725CB4" w14:textId="6676C1DF" w:rsidR="00BD657A" w:rsidRPr="00B64100" w:rsidRDefault="00BD657A" w:rsidP="00511291">
      <w:pPr>
        <w:pStyle w:val="ListParagraph"/>
        <w:numPr>
          <w:ilvl w:val="0"/>
          <w:numId w:val="2"/>
        </w:numPr>
        <w:spacing w:after="0" w:line="240" w:lineRule="auto"/>
        <w:jc w:val="both"/>
        <w:rPr>
          <w:rFonts w:ascii="Times New Roman" w:hAnsi="Times New Roman"/>
          <w:i/>
          <w:iCs/>
          <w:sz w:val="24"/>
          <w:szCs w:val="24"/>
          <w:lang w:val="en-US"/>
        </w:rPr>
      </w:pPr>
      <w:r>
        <w:rPr>
          <w:rFonts w:ascii="Times New Roman" w:hAnsi="Times New Roman"/>
          <w:sz w:val="24"/>
          <w:szCs w:val="24"/>
          <w:lang w:val="en-US"/>
        </w:rPr>
        <w:t xml:space="preserve">Dengan mengadopsi kriteria yang ditetapkan dalam Pasal 3 – 5 </w:t>
      </w:r>
      <w:r w:rsidRPr="00BD657A">
        <w:rPr>
          <w:rFonts w:ascii="Times New Roman" w:hAnsi="Times New Roman"/>
          <w:i/>
          <w:iCs/>
          <w:sz w:val="24"/>
          <w:szCs w:val="24"/>
          <w:lang w:val="en-US"/>
        </w:rPr>
        <w:t>Delegated Regulation</w:t>
      </w:r>
      <w:r w:rsidR="00B64100">
        <w:rPr>
          <w:rFonts w:ascii="Times New Roman" w:hAnsi="Times New Roman"/>
          <w:i/>
          <w:iCs/>
          <w:sz w:val="24"/>
          <w:szCs w:val="24"/>
          <w:lang w:val="en-US"/>
        </w:rPr>
        <w:t>,</w:t>
      </w:r>
      <w:r w:rsidR="00B64100">
        <w:rPr>
          <w:rFonts w:ascii="Times New Roman" w:hAnsi="Times New Roman"/>
          <w:sz w:val="24"/>
          <w:szCs w:val="24"/>
          <w:lang w:val="en-US"/>
        </w:rPr>
        <w:t>UE dianggap gagal dalam mengelola RED II dengan cara yang wajar, tidak memihakm dan seragam yang melanggar Pasal X:3 (a) GATT 1994.</w:t>
      </w:r>
    </w:p>
    <w:p w14:paraId="3B27866C" w14:textId="79D09883" w:rsidR="004B043D" w:rsidRPr="00867313" w:rsidRDefault="00B64100" w:rsidP="00947517">
      <w:pPr>
        <w:pStyle w:val="ListParagraph"/>
        <w:spacing w:after="0" w:line="240" w:lineRule="auto"/>
        <w:ind w:left="0" w:firstLine="426"/>
        <w:jc w:val="both"/>
        <w:rPr>
          <w:rFonts w:ascii="Times New Roman" w:hAnsi="Times New Roman"/>
          <w:sz w:val="24"/>
          <w:szCs w:val="24"/>
          <w:lang w:val="en-US"/>
        </w:rPr>
      </w:pPr>
      <w:r w:rsidRPr="00B64100">
        <w:rPr>
          <w:rFonts w:ascii="Times New Roman" w:hAnsi="Times New Roman"/>
          <w:sz w:val="24"/>
          <w:szCs w:val="24"/>
        </w:rPr>
        <w:t>Gugatan Indonesia ke WTO ini menjadi langkah awal untuk membuka kasus di lembaga ini. Gugatan ini merupakan persyaratan untuk dilaksanakannya tahap konsultasi, di mana tahap konsultasi merupakan tahap penyelesaian terbaik dalam suatu sengketa adalah penyelesaian yang dapat diterima oleh semua pihak daripada penyelesaian berdasarkan pada keputusan panel. Oleh karena itu prosedur paling awal yang dianjurkan adalah konsultasi (Pasal 4 DSU).</w:t>
      </w:r>
      <w:r>
        <w:rPr>
          <w:rFonts w:ascii="Times New Roman" w:hAnsi="Times New Roman"/>
          <w:sz w:val="24"/>
          <w:szCs w:val="24"/>
          <w:lang w:val="en-US"/>
        </w:rPr>
        <w:t xml:space="preserve"> Atas permohonan konsultasi kepada UE tersebut pada tanggal 18 Desember 2019, UE menjawab dan menerima permohonan konsultasi dari Indonesia. </w:t>
      </w:r>
    </w:p>
    <w:p w14:paraId="5B5BA2EE" w14:textId="6EB9D3B4" w:rsidR="004B043D" w:rsidRPr="004B043D" w:rsidRDefault="004B043D" w:rsidP="00947517">
      <w:pPr>
        <w:pStyle w:val="ListParagraph"/>
        <w:numPr>
          <w:ilvl w:val="0"/>
          <w:numId w:val="3"/>
        </w:numPr>
        <w:spacing w:after="0" w:line="240" w:lineRule="auto"/>
        <w:ind w:left="426" w:hanging="426"/>
        <w:jc w:val="both"/>
        <w:rPr>
          <w:rFonts w:ascii="Times New Roman" w:hAnsi="Times New Roman"/>
          <w:b/>
          <w:bCs/>
          <w:sz w:val="24"/>
          <w:szCs w:val="24"/>
          <w:lang w:val="en-US"/>
        </w:rPr>
      </w:pPr>
      <w:r w:rsidRPr="004B043D">
        <w:rPr>
          <w:rFonts w:ascii="Times New Roman" w:hAnsi="Times New Roman"/>
          <w:b/>
          <w:bCs/>
          <w:sz w:val="24"/>
          <w:szCs w:val="24"/>
          <w:lang w:val="en-US"/>
        </w:rPr>
        <w:t>Konsultasi antara Indonesia – UE 19 Februari 2020</w:t>
      </w:r>
    </w:p>
    <w:p w14:paraId="456E0A35" w14:textId="397B2C68" w:rsidR="004B043D" w:rsidRPr="00160390" w:rsidRDefault="004B043D" w:rsidP="008C0EAE">
      <w:pPr>
        <w:pStyle w:val="ListParagraph"/>
        <w:spacing w:after="0" w:line="240" w:lineRule="auto"/>
        <w:ind w:left="0" w:firstLine="425"/>
        <w:jc w:val="both"/>
        <w:rPr>
          <w:rFonts w:ascii="Times New Roman" w:hAnsi="Times New Roman"/>
          <w:sz w:val="24"/>
          <w:szCs w:val="24"/>
        </w:rPr>
      </w:pPr>
      <w:r w:rsidRPr="00160390">
        <w:rPr>
          <w:rFonts w:ascii="Times New Roman" w:hAnsi="Times New Roman"/>
          <w:sz w:val="24"/>
          <w:szCs w:val="24"/>
        </w:rPr>
        <w:t xml:space="preserve">Konsultasi antara Indonesia dan UE resmi dilakuan pada 19 Februari 2020 di Jenewa, Swiss. Sebelumnya Indonesia telah mengirimkan 108 pertanyaan kepada UE untuk meminta klarifikasi terkait kebijakan RED II dan </w:t>
      </w:r>
      <w:r w:rsidRPr="00504AF8">
        <w:rPr>
          <w:rFonts w:ascii="Times New Roman" w:hAnsi="Times New Roman"/>
          <w:i/>
          <w:iCs/>
          <w:sz w:val="24"/>
          <w:szCs w:val="24"/>
        </w:rPr>
        <w:t>Delegated Regulation</w:t>
      </w:r>
      <w:r w:rsidRPr="00160390">
        <w:rPr>
          <w:rFonts w:ascii="Times New Roman" w:hAnsi="Times New Roman"/>
          <w:sz w:val="24"/>
          <w:szCs w:val="24"/>
        </w:rPr>
        <w:t xml:space="preserve"> mengenai CPO. Pada konsultasi ini Indonesia mendapatkan kesempatan untuk menyampaikan keberatannya terkait kebijakan UE tersebut dan UE juga menyampaikan pandangan mereka (Kemendag, 2020).</w:t>
      </w:r>
    </w:p>
    <w:p w14:paraId="605152F9" w14:textId="77777777" w:rsidR="00947517" w:rsidRDefault="004B043D" w:rsidP="00947517">
      <w:pPr>
        <w:pStyle w:val="ListParagraph"/>
        <w:spacing w:after="0" w:line="240" w:lineRule="auto"/>
        <w:ind w:left="0" w:firstLine="425"/>
        <w:jc w:val="both"/>
        <w:rPr>
          <w:rFonts w:ascii="Times New Roman" w:hAnsi="Times New Roman"/>
          <w:color w:val="222222"/>
          <w:sz w:val="24"/>
          <w:szCs w:val="24"/>
          <w:shd w:val="clear" w:color="auto" w:fill="FFFFFF"/>
        </w:rPr>
      </w:pPr>
      <w:r>
        <w:rPr>
          <w:rFonts w:ascii="Times New Roman" w:hAnsi="Times New Roman"/>
          <w:sz w:val="24"/>
          <w:szCs w:val="24"/>
        </w:rPr>
        <w:t xml:space="preserve">Dalam konsultasi ini ada beberapa negara juga bergabung dalam </w:t>
      </w:r>
      <w:r w:rsidRPr="00160390">
        <w:rPr>
          <w:rFonts w:ascii="Times New Roman" w:hAnsi="Times New Roman"/>
          <w:sz w:val="24"/>
          <w:szCs w:val="24"/>
        </w:rPr>
        <w:t xml:space="preserve">konsultasi di antara Indonesia dan UE yaitu </w:t>
      </w:r>
      <w:r w:rsidRPr="00160390">
        <w:rPr>
          <w:rFonts w:ascii="Times New Roman" w:hAnsi="Times New Roman"/>
          <w:color w:val="222222"/>
          <w:sz w:val="24"/>
          <w:szCs w:val="24"/>
          <w:shd w:val="clear" w:color="auto" w:fill="FFFFFF"/>
        </w:rPr>
        <w:t>Ekuador, Guatemala, Honduras, India, Jepang, Malaysia, Norwegia, Rusia, Singapura, Korea Selatan, Thailand, Turki, dan AS (WTO, 2019)</w:t>
      </w:r>
      <w:r>
        <w:rPr>
          <w:rFonts w:ascii="Times New Roman" w:hAnsi="Times New Roman"/>
          <w:color w:val="222222"/>
          <w:sz w:val="24"/>
          <w:szCs w:val="24"/>
          <w:shd w:val="clear" w:color="auto" w:fill="FFFFFF"/>
        </w:rPr>
        <w:t>.</w:t>
      </w:r>
      <w:r w:rsidR="00947517">
        <w:rPr>
          <w:rFonts w:ascii="Times New Roman" w:hAnsi="Times New Roman"/>
          <w:color w:val="222222"/>
          <w:sz w:val="24"/>
          <w:szCs w:val="24"/>
          <w:shd w:val="clear" w:color="auto" w:fill="FFFFFF"/>
          <w:lang w:val="en-US"/>
        </w:rPr>
        <w:t xml:space="preserve"> </w:t>
      </w:r>
      <w:r w:rsidR="00947517">
        <w:rPr>
          <w:rFonts w:ascii="Times New Roman" w:hAnsi="Times New Roman"/>
          <w:color w:val="222222"/>
          <w:sz w:val="24"/>
          <w:szCs w:val="24"/>
          <w:shd w:val="clear" w:color="auto" w:fill="FFFFFF"/>
        </w:rPr>
        <w:t>Sebelumnya, Negara-negara di atas mengajukan permohonan untuk bergabung dalam konsultasi. Selanjutnya UE memberitahukan kepada DSB bahwa mereka telah menerima permohonan dari negara-negara tersebut untuk bergabung dalam konsultasi.. Negara-negara di atas rata-rata adalah penghasil dan eksportir CPO ke UE serta perdagangan biodiesel dengan UE serta memiliki kepentingan substansial.</w:t>
      </w:r>
    </w:p>
    <w:p w14:paraId="2C429504" w14:textId="5936B6AB" w:rsidR="004B043D" w:rsidRPr="00947517" w:rsidRDefault="004B043D" w:rsidP="00947517">
      <w:pPr>
        <w:pStyle w:val="ListParagraph"/>
        <w:spacing w:after="0" w:line="240" w:lineRule="auto"/>
        <w:ind w:left="0" w:firstLine="426"/>
        <w:jc w:val="both"/>
        <w:rPr>
          <w:rFonts w:ascii="Times New Roman" w:hAnsi="Times New Roman"/>
          <w:color w:val="222222"/>
          <w:sz w:val="24"/>
          <w:szCs w:val="24"/>
          <w:shd w:val="clear" w:color="auto" w:fill="FFFFFF"/>
          <w:lang w:val="en-US"/>
        </w:rPr>
      </w:pPr>
      <w:r>
        <w:rPr>
          <w:rFonts w:ascii="Times New Roman" w:hAnsi="Times New Roman"/>
          <w:color w:val="222222"/>
          <w:sz w:val="24"/>
          <w:szCs w:val="24"/>
          <w:shd w:val="clear" w:color="auto" w:fill="FFFFFF"/>
        </w:rPr>
        <w:t>Pada proses konsultasi ini bisa dilakukan dengan bebas pelaksanaanya karena tidak banyak pengaturan di DSU tentang bagaimana konsultasi dilakukan. Intinya, melakukan konsultasi lebih merupakan proses politik di tingkat diplomat.</w:t>
      </w:r>
      <w:r w:rsidR="00947517">
        <w:rPr>
          <w:rFonts w:ascii="Times New Roman" w:hAnsi="Times New Roman"/>
          <w:color w:val="222222"/>
          <w:sz w:val="24"/>
          <w:szCs w:val="24"/>
          <w:shd w:val="clear" w:color="auto" w:fill="FFFFFF"/>
          <w:lang w:val="en-US"/>
        </w:rPr>
        <w:t xml:space="preserve"> </w:t>
      </w:r>
      <w:r w:rsidR="00947517">
        <w:rPr>
          <w:rFonts w:ascii="Times New Roman" w:hAnsi="Times New Roman"/>
          <w:color w:val="222222"/>
          <w:sz w:val="24"/>
          <w:szCs w:val="24"/>
          <w:shd w:val="clear" w:color="auto" w:fill="FFFFFF"/>
        </w:rPr>
        <w:t>Konsultasi biasanya diadakan di Jenewa dengan partisipasi diplomat yang berbasis di Jenewa dan perwakilan perdagangan dari negara-negara yang bersengketa. Sekretariat WTO tidak hadir dalam konsultasi dan tidak dapat berpartisipasi di dalamnya.</w:t>
      </w:r>
    </w:p>
    <w:p w14:paraId="6B12B3EA" w14:textId="446784E3" w:rsidR="004B043D" w:rsidRPr="00BD07DA" w:rsidRDefault="004B043D" w:rsidP="008C0EAE">
      <w:pPr>
        <w:pStyle w:val="ListParagraph"/>
        <w:spacing w:after="0" w:line="240" w:lineRule="auto"/>
        <w:ind w:left="0" w:firstLine="284"/>
        <w:jc w:val="both"/>
        <w:rPr>
          <w:rFonts w:ascii="Times New Roman" w:hAnsi="Times New Roman"/>
          <w:color w:val="222222"/>
          <w:sz w:val="24"/>
          <w:szCs w:val="24"/>
          <w:shd w:val="clear" w:color="auto" w:fill="FFFFFF"/>
        </w:rPr>
      </w:pPr>
      <w:r w:rsidRPr="00160390">
        <w:rPr>
          <w:rFonts w:ascii="Times New Roman" w:hAnsi="Times New Roman"/>
          <w:color w:val="222222"/>
          <w:sz w:val="24"/>
          <w:szCs w:val="24"/>
          <w:shd w:val="clear" w:color="auto" w:fill="FFFFFF"/>
        </w:rPr>
        <w:lastRenderedPageBreak/>
        <w:t xml:space="preserve">Konsultasi yang  tersebut pada akhirnya tidak membuahkan hasil </w:t>
      </w:r>
      <w:r>
        <w:rPr>
          <w:rFonts w:ascii="Times New Roman" w:hAnsi="Times New Roman"/>
          <w:color w:val="222222"/>
          <w:sz w:val="24"/>
          <w:szCs w:val="24"/>
          <w:shd w:val="clear" w:color="auto" w:fill="FFFFFF"/>
        </w:rPr>
        <w:t xml:space="preserve">yang disetujui bersama </w:t>
      </w:r>
      <w:r w:rsidRPr="00160390">
        <w:rPr>
          <w:rFonts w:ascii="Times New Roman" w:hAnsi="Times New Roman"/>
          <w:color w:val="222222"/>
          <w:sz w:val="24"/>
          <w:szCs w:val="24"/>
          <w:shd w:val="clear" w:color="auto" w:fill="FFFFFF"/>
        </w:rPr>
        <w:t>atau tidak menyelesaikan sengketa yang terjadi di antara Indonesia dan UE. Sehingga Indonesia meneruskan sengketa tersebut ke DSB untuk meminta pembentukan panel</w:t>
      </w:r>
      <w:r>
        <w:rPr>
          <w:rFonts w:ascii="Times New Roman" w:hAnsi="Times New Roman"/>
          <w:color w:val="222222"/>
          <w:sz w:val="24"/>
          <w:szCs w:val="24"/>
          <w:shd w:val="clear" w:color="auto" w:fill="FFFFFF"/>
        </w:rPr>
        <w:t xml:space="preserve"> untuk menyelesaikan sengketa. </w:t>
      </w:r>
    </w:p>
    <w:p w14:paraId="09D58D94" w14:textId="6C2B2274" w:rsidR="004B043D" w:rsidRPr="002D7483" w:rsidRDefault="004B043D" w:rsidP="00947517">
      <w:pPr>
        <w:pStyle w:val="ListParagraph"/>
        <w:numPr>
          <w:ilvl w:val="0"/>
          <w:numId w:val="3"/>
        </w:numPr>
        <w:spacing w:after="0" w:line="240" w:lineRule="auto"/>
        <w:ind w:left="284"/>
        <w:jc w:val="both"/>
        <w:rPr>
          <w:rFonts w:ascii="Times New Roman" w:hAnsi="Times New Roman"/>
          <w:b/>
          <w:bCs/>
          <w:color w:val="222222"/>
          <w:sz w:val="24"/>
          <w:szCs w:val="24"/>
          <w:shd w:val="clear" w:color="auto" w:fill="FFFFFF"/>
          <w:lang w:val="en-US"/>
        </w:rPr>
      </w:pPr>
      <w:r w:rsidRPr="002D7483">
        <w:rPr>
          <w:rFonts w:ascii="Times New Roman" w:hAnsi="Times New Roman"/>
          <w:b/>
          <w:bCs/>
          <w:color w:val="222222"/>
          <w:sz w:val="24"/>
          <w:szCs w:val="24"/>
          <w:shd w:val="clear" w:color="auto" w:fill="FFFFFF"/>
          <w:lang w:val="en-US"/>
        </w:rPr>
        <w:t>Panel Maret – November 2020</w:t>
      </w:r>
    </w:p>
    <w:p w14:paraId="5B8D1AF3" w14:textId="05B10389" w:rsidR="004B043D" w:rsidRDefault="004B043D" w:rsidP="008C0EAE">
      <w:pPr>
        <w:pStyle w:val="ListParagraph"/>
        <w:spacing w:after="0" w:line="240" w:lineRule="auto"/>
        <w:ind w:left="0" w:firstLine="284"/>
        <w:jc w:val="both"/>
        <w:rPr>
          <w:rFonts w:ascii="Times New Roman" w:hAnsi="Times New Roman"/>
          <w:color w:val="222222"/>
          <w:sz w:val="24"/>
          <w:szCs w:val="24"/>
          <w:shd w:val="clear" w:color="auto" w:fill="FFFFFF"/>
        </w:rPr>
      </w:pPr>
      <w:r w:rsidRPr="00160390">
        <w:rPr>
          <w:rFonts w:ascii="Times New Roman" w:hAnsi="Times New Roman"/>
          <w:sz w:val="24"/>
          <w:szCs w:val="24"/>
        </w:rPr>
        <w:t>Setelah proses konsultasi yang dilakukan pada 19 Februari 2020 tidak menyelesaikan sengketa diantara Indonesia dan UE. Akhirnya, pada tanggal 18 Maret 2020 Indonesia memutuskan untuk mengirimkan perm</w:t>
      </w:r>
      <w:r>
        <w:rPr>
          <w:rFonts w:ascii="Times New Roman" w:hAnsi="Times New Roman"/>
          <w:sz w:val="24"/>
          <w:szCs w:val="24"/>
        </w:rPr>
        <w:t>ohonan</w:t>
      </w:r>
      <w:r w:rsidRPr="00160390">
        <w:rPr>
          <w:rFonts w:ascii="Times New Roman" w:hAnsi="Times New Roman"/>
          <w:sz w:val="24"/>
          <w:szCs w:val="24"/>
        </w:rPr>
        <w:t xml:space="preserve"> pembentukan panel kepada DSB untuk menyelesaikan sengketa diantara Indonesia dan UE (WTO, 2020).</w:t>
      </w:r>
      <w:r w:rsidR="00947517" w:rsidRPr="00947517">
        <w:rPr>
          <w:rFonts w:ascii="Times New Roman" w:hAnsi="Times New Roman"/>
          <w:sz w:val="24"/>
          <w:szCs w:val="24"/>
        </w:rPr>
        <w:t xml:space="preserve"> </w:t>
      </w:r>
      <w:r w:rsidR="00947517">
        <w:rPr>
          <w:rFonts w:ascii="Times New Roman" w:hAnsi="Times New Roman"/>
          <w:color w:val="222222"/>
          <w:sz w:val="24"/>
          <w:szCs w:val="24"/>
          <w:shd w:val="clear" w:color="auto" w:fill="FFFFFF"/>
        </w:rPr>
        <w:t>Hal ini berdasarkan dengan DSU yang mana menjelaskan apabila konsultasi gagal dalam menyelesaikan sengketa dalam jangka waktu 60 hari sejak diterimanya permohonan untuk berkonsultasi. Pihak pemohon dapat mengajukan pembentukan panel kepada DSB.</w:t>
      </w:r>
    </w:p>
    <w:p w14:paraId="498D2784" w14:textId="77777777" w:rsidR="00947517" w:rsidRDefault="00947517" w:rsidP="008C0EAE">
      <w:pPr>
        <w:pStyle w:val="ListParagraph"/>
        <w:spacing w:after="0" w:line="240" w:lineRule="auto"/>
        <w:ind w:left="0" w:firstLine="284"/>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Fungsi dari panel adalah membantu penyelesaian dengan objektif dan menentukan apakah subjek dan objek kasus telah melanggar perjanjian WTO yang tercakup. Panel menyusun dan menyerahkan temuan dari penyelidikannya untuk membantu DSB membuat rekomendasi atau keputusan. Panel terdiri dari tiga orang yang berkompeten. Mereka harus memenuhi persyaratan yang tercantum di bawah ini:</w:t>
      </w:r>
    </w:p>
    <w:p w14:paraId="4731C526" w14:textId="77777777" w:rsidR="00947517" w:rsidRDefault="00947517" w:rsidP="00947517">
      <w:pPr>
        <w:pStyle w:val="ListParagraph"/>
        <w:numPr>
          <w:ilvl w:val="0"/>
          <w:numId w:val="6"/>
        </w:numPr>
        <w:spacing w:after="0" w:line="240" w:lineRule="auto"/>
        <w:ind w:left="851"/>
        <w:contextualSpacing/>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Memiliki pengalaman penyelesaian sengketa GATT, atau telah mengajar atau menerbitkan tulisan tentang hukum atau kebijakan perdagangan internasional.</w:t>
      </w:r>
    </w:p>
    <w:p w14:paraId="5B65269C" w14:textId="77777777" w:rsidR="00947517" w:rsidRDefault="00947517" w:rsidP="00947517">
      <w:pPr>
        <w:pStyle w:val="ListParagraph"/>
        <w:numPr>
          <w:ilvl w:val="0"/>
          <w:numId w:val="6"/>
        </w:numPr>
        <w:spacing w:after="0" w:line="240" w:lineRule="auto"/>
        <w:ind w:left="851"/>
        <w:contextualSpacing/>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Panelis tidak boleh memihak. Tidak boleh memiliki kewarganegaraan yang sama dengan negara yang disengketakan kecuali para pihak yang bersengketa menyetujuinya.</w:t>
      </w:r>
    </w:p>
    <w:p w14:paraId="52870669" w14:textId="77777777" w:rsidR="00947517" w:rsidRPr="001F66E6" w:rsidRDefault="00947517" w:rsidP="00947517">
      <w:pPr>
        <w:pStyle w:val="ListParagraph"/>
        <w:numPr>
          <w:ilvl w:val="0"/>
          <w:numId w:val="6"/>
        </w:numPr>
        <w:spacing w:after="0" w:line="240" w:lineRule="auto"/>
        <w:ind w:left="851"/>
        <w:contextualSpacing/>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Panelis boleh berasal dari pejabat negara biasanya diplomat, atau warga negara biasa.</w:t>
      </w:r>
    </w:p>
    <w:p w14:paraId="72E1552A" w14:textId="30F2A125" w:rsidR="00947517" w:rsidRPr="00F01610" w:rsidRDefault="00947517" w:rsidP="00F01610">
      <w:pPr>
        <w:pStyle w:val="ListParagraph"/>
        <w:numPr>
          <w:ilvl w:val="0"/>
          <w:numId w:val="6"/>
        </w:numPr>
        <w:spacing w:after="0" w:line="240" w:lineRule="auto"/>
        <w:ind w:left="851"/>
        <w:contextualSpacing/>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Panelis harus dipilih dengan maksud untuk mewujudkannya ‘Berbagai latar belakang dan pengalaman yang cukup luas.’(Pasal 8 DSU).</w:t>
      </w:r>
    </w:p>
    <w:p w14:paraId="3695DCAE" w14:textId="77777777" w:rsidR="009615B3" w:rsidRPr="00F44C7F" w:rsidRDefault="009615B3" w:rsidP="00D36CAA">
      <w:pPr>
        <w:pStyle w:val="ListParagraph"/>
        <w:spacing w:after="0" w:line="240" w:lineRule="auto"/>
        <w:ind w:left="0" w:firstLine="284"/>
        <w:jc w:val="both"/>
        <w:rPr>
          <w:rFonts w:ascii="Times New Roman" w:hAnsi="Times New Roman"/>
          <w:sz w:val="24"/>
          <w:szCs w:val="24"/>
        </w:rPr>
      </w:pPr>
      <w:bookmarkStart w:id="1" w:name="_Hlk122969354"/>
      <w:r w:rsidRPr="00160390">
        <w:rPr>
          <w:rFonts w:ascii="Times New Roman" w:hAnsi="Times New Roman"/>
          <w:sz w:val="24"/>
          <w:szCs w:val="24"/>
        </w:rPr>
        <w:t>Pada tanggal 29 Juli 2020, DSB membentuk sebuah panel berdasarkan permintaan dari Indonesia dalam dokumen WT/DS593/9</w:t>
      </w:r>
      <w:r>
        <w:rPr>
          <w:rFonts w:ascii="Times New Roman" w:hAnsi="Times New Roman"/>
          <w:sz w:val="24"/>
          <w:szCs w:val="24"/>
        </w:rPr>
        <w:t>.</w:t>
      </w:r>
      <w:r w:rsidRPr="00160390">
        <w:rPr>
          <w:rFonts w:ascii="Times New Roman" w:hAnsi="Times New Roman"/>
          <w:sz w:val="24"/>
          <w:szCs w:val="24"/>
        </w:rPr>
        <w:t xml:space="preserve"> </w:t>
      </w:r>
      <w:bookmarkEnd w:id="1"/>
      <w:r w:rsidRPr="00F44C7F">
        <w:rPr>
          <w:rFonts w:ascii="Times New Roman" w:hAnsi="Times New Roman"/>
          <w:sz w:val="24"/>
          <w:szCs w:val="24"/>
        </w:rPr>
        <w:t>Lalu, pada 2 November 2020, Indonesia meminta agar komposisi panel ditentukan berdasarkan DSU Pasal 8 ayat 7 yaitu:</w:t>
      </w:r>
    </w:p>
    <w:p w14:paraId="639BCC34" w14:textId="7250896A" w:rsidR="009615B3" w:rsidRPr="009615B3" w:rsidRDefault="009615B3" w:rsidP="009615B3">
      <w:pPr>
        <w:pStyle w:val="ListParagraph"/>
        <w:spacing w:after="0" w:line="240" w:lineRule="auto"/>
        <w:ind w:left="851" w:right="424" w:firstLine="283"/>
        <w:jc w:val="both"/>
        <w:rPr>
          <w:rFonts w:ascii="Times New Roman" w:hAnsi="Times New Roman"/>
          <w:sz w:val="24"/>
          <w:szCs w:val="24"/>
        </w:rPr>
      </w:pPr>
      <w:r w:rsidRPr="00160390">
        <w:rPr>
          <w:rFonts w:ascii="Times New Roman" w:hAnsi="Times New Roman"/>
          <w:sz w:val="24"/>
          <w:szCs w:val="24"/>
        </w:rPr>
        <w:t>“Jika tidak ada kesepakatan para panelis dalam waktu 20 hari setelah tanggal pembentukan panel, atas permintaan salah satu pihak, Direktur Jenderal berkonsultasi dengan ketua DSB dan Ketua Dewan atau Komite yang relevan dari perjanjian tercakup atau perjanjian tercakup yang menjadi masalah dalam sengketa, setelah berkonsultasi dengan pihak yang bersengketa. Ketua DSB harus memberitahu an</w:t>
      </w:r>
      <w:r>
        <w:rPr>
          <w:rFonts w:ascii="Times New Roman" w:hAnsi="Times New Roman"/>
          <w:sz w:val="24"/>
          <w:szCs w:val="24"/>
        </w:rPr>
        <w:t>g</w:t>
      </w:r>
      <w:r w:rsidRPr="00160390">
        <w:rPr>
          <w:rFonts w:ascii="Times New Roman" w:hAnsi="Times New Roman"/>
          <w:sz w:val="24"/>
          <w:szCs w:val="24"/>
        </w:rPr>
        <w:t>gota tentang susunan panel yang dibentuk selambat-lambatnya 10 hari setelah tanggal ketua menerima permintaan tersebut.”</w:t>
      </w:r>
    </w:p>
    <w:p w14:paraId="5DDA4FB0" w14:textId="6AF5C1ED" w:rsidR="00B176E0" w:rsidRDefault="009615B3" w:rsidP="00D36CAA">
      <w:pPr>
        <w:pStyle w:val="ListParagraph"/>
        <w:spacing w:after="0" w:line="240" w:lineRule="auto"/>
        <w:ind w:left="0" w:firstLine="284"/>
        <w:jc w:val="both"/>
        <w:rPr>
          <w:rFonts w:ascii="Times New Roman" w:hAnsi="Times New Roman"/>
          <w:sz w:val="24"/>
          <w:szCs w:val="24"/>
        </w:rPr>
      </w:pPr>
      <w:r w:rsidRPr="00160390">
        <w:rPr>
          <w:rFonts w:ascii="Times New Roman" w:hAnsi="Times New Roman"/>
          <w:sz w:val="24"/>
          <w:szCs w:val="24"/>
        </w:rPr>
        <w:t xml:space="preserve">Merespon permintaan Indonesia </w:t>
      </w:r>
      <w:r>
        <w:rPr>
          <w:rFonts w:ascii="Times New Roman" w:hAnsi="Times New Roman"/>
          <w:sz w:val="24"/>
          <w:szCs w:val="24"/>
        </w:rPr>
        <w:t xml:space="preserve">tersebut, pada </w:t>
      </w:r>
      <w:r w:rsidRPr="00160390">
        <w:rPr>
          <w:rFonts w:ascii="Times New Roman" w:hAnsi="Times New Roman"/>
          <w:sz w:val="24"/>
          <w:szCs w:val="24"/>
        </w:rPr>
        <w:t>tanggal 12 November 2020, Wakil Direktur Jenderal Yono Frederick Agah menyusun panel yang terdiri dari tiga orang</w:t>
      </w:r>
      <w:r>
        <w:rPr>
          <w:rFonts w:ascii="Times New Roman" w:hAnsi="Times New Roman"/>
          <w:sz w:val="24"/>
          <w:szCs w:val="24"/>
        </w:rPr>
        <w:t xml:space="preserve"> yang terdiri dari</w:t>
      </w:r>
      <w:r w:rsidRPr="00160390">
        <w:rPr>
          <w:rFonts w:ascii="Times New Roman" w:hAnsi="Times New Roman"/>
          <w:sz w:val="24"/>
          <w:szCs w:val="24"/>
        </w:rPr>
        <w:t xml:space="preserve"> ketua panel Manzoor Ahmad</w:t>
      </w:r>
      <w:r>
        <w:rPr>
          <w:rFonts w:ascii="Times New Roman" w:hAnsi="Times New Roman"/>
          <w:sz w:val="24"/>
          <w:szCs w:val="24"/>
        </w:rPr>
        <w:t xml:space="preserve"> (Pakistan)</w:t>
      </w:r>
      <w:r w:rsidRPr="00160390">
        <w:rPr>
          <w:rFonts w:ascii="Times New Roman" w:hAnsi="Times New Roman"/>
          <w:sz w:val="24"/>
          <w:szCs w:val="24"/>
        </w:rPr>
        <w:t>, dan anggota Sarah Paterson</w:t>
      </w:r>
      <w:r>
        <w:rPr>
          <w:rFonts w:ascii="Times New Roman" w:hAnsi="Times New Roman"/>
          <w:sz w:val="24"/>
          <w:szCs w:val="24"/>
        </w:rPr>
        <w:t xml:space="preserve"> (Inggris)</w:t>
      </w:r>
      <w:r w:rsidRPr="00160390">
        <w:rPr>
          <w:rFonts w:ascii="Times New Roman" w:hAnsi="Times New Roman"/>
          <w:sz w:val="24"/>
          <w:szCs w:val="24"/>
        </w:rPr>
        <w:t>, dan Arie Reich</w:t>
      </w:r>
      <w:r>
        <w:rPr>
          <w:rFonts w:ascii="Times New Roman" w:hAnsi="Times New Roman"/>
          <w:sz w:val="24"/>
          <w:szCs w:val="24"/>
        </w:rPr>
        <w:t xml:space="preserve"> (Swedia)</w:t>
      </w:r>
      <w:r w:rsidRPr="00160390">
        <w:rPr>
          <w:rFonts w:ascii="Times New Roman" w:hAnsi="Times New Roman"/>
          <w:sz w:val="24"/>
          <w:szCs w:val="24"/>
        </w:rPr>
        <w:t xml:space="preserve">. </w:t>
      </w:r>
      <w:r w:rsidR="00B176E0" w:rsidRPr="00160390">
        <w:rPr>
          <w:rFonts w:ascii="Times New Roman" w:hAnsi="Times New Roman"/>
          <w:sz w:val="24"/>
          <w:szCs w:val="24"/>
        </w:rPr>
        <w:t xml:space="preserve">Merespon permintaan Indonesia </w:t>
      </w:r>
      <w:r w:rsidR="00B176E0">
        <w:rPr>
          <w:rFonts w:ascii="Times New Roman" w:hAnsi="Times New Roman"/>
          <w:sz w:val="24"/>
          <w:szCs w:val="24"/>
        </w:rPr>
        <w:t>tersebu</w:t>
      </w:r>
      <w:r>
        <w:rPr>
          <w:rFonts w:ascii="Times New Roman" w:hAnsi="Times New Roman"/>
          <w:sz w:val="24"/>
          <w:szCs w:val="24"/>
          <w:lang w:val="en-US"/>
        </w:rPr>
        <w:t>t pada</w:t>
      </w:r>
      <w:r w:rsidR="00B176E0" w:rsidRPr="00160390">
        <w:rPr>
          <w:rFonts w:ascii="Times New Roman" w:hAnsi="Times New Roman"/>
          <w:sz w:val="24"/>
          <w:szCs w:val="24"/>
        </w:rPr>
        <w:t xml:space="preserve"> 12 November 2020, Wakil Direktur Jenderal Yono Frederick Agah menyusun panel yang terdiri dari tiga orang</w:t>
      </w:r>
      <w:r w:rsidR="00B176E0">
        <w:rPr>
          <w:rFonts w:ascii="Times New Roman" w:hAnsi="Times New Roman"/>
          <w:sz w:val="24"/>
          <w:szCs w:val="24"/>
        </w:rPr>
        <w:t xml:space="preserve"> yang terdiri dari</w:t>
      </w:r>
      <w:r w:rsidR="00B176E0" w:rsidRPr="00160390">
        <w:rPr>
          <w:rFonts w:ascii="Times New Roman" w:hAnsi="Times New Roman"/>
          <w:sz w:val="24"/>
          <w:szCs w:val="24"/>
        </w:rPr>
        <w:t xml:space="preserve"> ketua panel Manzoor Ahmad, dan anggota Sarah Paterson, dan Arie Reich. Terdapat juga pihak ketiga untuk berpartisipasi dalam proses panel yaitu negara Argentina, Australia, Brazil, Kanada, Cina, Kolombia, Costa rica, Ekuador, Guatemala, Honduras, India, Jepang, Malaysia, Norwegia, Federasi Rusia, Singapura, Korea Selatan, Thailand, Turki, dan AS (WTO, 2020).</w:t>
      </w:r>
      <w:r w:rsidR="00B176E0">
        <w:rPr>
          <w:rFonts w:ascii="Times New Roman" w:hAnsi="Times New Roman"/>
          <w:sz w:val="24"/>
          <w:szCs w:val="24"/>
        </w:rPr>
        <w:t xml:space="preserve"> </w:t>
      </w:r>
    </w:p>
    <w:p w14:paraId="0E02DAFD" w14:textId="77777777" w:rsidR="002D7483" w:rsidRDefault="002D7483" w:rsidP="00D36CAA">
      <w:pPr>
        <w:pStyle w:val="ListParagraph"/>
        <w:spacing w:after="0" w:line="240" w:lineRule="auto"/>
        <w:ind w:left="0" w:firstLine="284"/>
        <w:jc w:val="both"/>
        <w:rPr>
          <w:rFonts w:ascii="Times New Roman" w:hAnsi="Times New Roman"/>
          <w:sz w:val="24"/>
          <w:szCs w:val="24"/>
        </w:rPr>
      </w:pPr>
      <w:r>
        <w:rPr>
          <w:rFonts w:ascii="Times New Roman" w:hAnsi="Times New Roman"/>
          <w:sz w:val="24"/>
          <w:szCs w:val="24"/>
        </w:rPr>
        <w:lastRenderedPageBreak/>
        <w:t>Dalam melakukan penyelidikan terhadap suatu sengketa, panel berhak mendapatkan setiap informasi dari setiap individu, lembaga atau organisasi berkompeten.</w:t>
      </w:r>
      <w:r>
        <w:rPr>
          <w:rFonts w:ascii="Times New Roman" w:hAnsi="Times New Roman"/>
          <w:sz w:val="24"/>
          <w:szCs w:val="24"/>
          <w:lang w:val="en-US"/>
        </w:rPr>
        <w:t xml:space="preserve"> </w:t>
      </w:r>
      <w:r>
        <w:rPr>
          <w:rFonts w:ascii="Times New Roman" w:hAnsi="Times New Roman"/>
          <w:sz w:val="24"/>
          <w:szCs w:val="24"/>
        </w:rPr>
        <w:t xml:space="preserve">Setelah panelis telah tersusun secara resmi di jangka waktu seminggu, panel melakukan pertemuan pertama untuk berkonsultasi dengan para pihak menetapkan jadwal proses panel serta prosedur kerja khusus (jika memang diperlukan). Jadwal harus menyediakan waktu yang cukup bagi para pihak yang bersengketa untuk menyiapkan pengajuan tertulis mereka. Para pihak umumnya membuat dua pengajuan tertulis, dengan setiap pengajuan diikuti dengan sidang. Pengajuan tertulis ini disimpan di sekretariat WTO untuk segera diteruskan ke panel dan pihak/partai lain. Pengajuan tertulis ini menyajikan fakta-fakta kasus dan argumen dari masing-masing pihak (Appendix 3 DSU) dan akan segera diteruskan ke panel untuk dilakukan sidang. </w:t>
      </w:r>
    </w:p>
    <w:p w14:paraId="1E97CB6B" w14:textId="77777777" w:rsidR="002D7483" w:rsidRPr="00160390" w:rsidRDefault="002D7483" w:rsidP="00D36CAA">
      <w:pPr>
        <w:pStyle w:val="ListParagraph"/>
        <w:spacing w:after="0" w:line="240" w:lineRule="auto"/>
        <w:ind w:left="0" w:firstLine="284"/>
        <w:jc w:val="both"/>
        <w:rPr>
          <w:rFonts w:ascii="Times New Roman" w:hAnsi="Times New Roman"/>
          <w:sz w:val="24"/>
          <w:szCs w:val="24"/>
        </w:rPr>
      </w:pPr>
      <w:r>
        <w:rPr>
          <w:rFonts w:ascii="Times New Roman" w:hAnsi="Times New Roman"/>
          <w:sz w:val="24"/>
          <w:szCs w:val="24"/>
        </w:rPr>
        <w:t xml:space="preserve">Pada kasus sengketa kelapa sawit Indonesia – UE ini kedua negara menuliskan pengajuan tertulis. UE mengirimkan pengajuan tertulis pada 5 Maret 2021 sedangkan Indonesia tidak bisa dikonfirmasi pada tanggal berapa mengirimkan pengajuan tertulis karena tidak ada dokumen yang terlampir pada situs resmi WTO. Lalu, sidang pertama dilaksanakan pada 6 April 2021. </w:t>
      </w:r>
    </w:p>
    <w:p w14:paraId="762FB2FE" w14:textId="1BC931C6" w:rsidR="004B043D" w:rsidRPr="002D7483" w:rsidRDefault="002D7483" w:rsidP="009615B3">
      <w:pPr>
        <w:pStyle w:val="ListParagraph"/>
        <w:numPr>
          <w:ilvl w:val="0"/>
          <w:numId w:val="3"/>
        </w:numPr>
        <w:spacing w:after="0" w:line="240" w:lineRule="auto"/>
        <w:ind w:left="284"/>
        <w:jc w:val="both"/>
        <w:rPr>
          <w:rFonts w:ascii="Times New Roman" w:hAnsi="Times New Roman"/>
          <w:b/>
          <w:bCs/>
          <w:color w:val="222222"/>
          <w:sz w:val="24"/>
          <w:szCs w:val="24"/>
          <w:shd w:val="clear" w:color="auto" w:fill="FFFFFF"/>
          <w:lang w:val="en-US"/>
        </w:rPr>
      </w:pPr>
      <w:r w:rsidRPr="002D7483">
        <w:rPr>
          <w:rFonts w:ascii="Times New Roman" w:hAnsi="Times New Roman"/>
          <w:b/>
          <w:bCs/>
          <w:color w:val="222222"/>
          <w:sz w:val="24"/>
          <w:szCs w:val="24"/>
          <w:shd w:val="clear" w:color="auto" w:fill="FFFFFF"/>
          <w:lang w:val="en-US"/>
        </w:rPr>
        <w:t>Sidang pertama</w:t>
      </w:r>
    </w:p>
    <w:p w14:paraId="5359E1D1" w14:textId="77777777" w:rsidR="002D7483" w:rsidRPr="006E0F0B" w:rsidRDefault="002D7483" w:rsidP="009615B3">
      <w:pPr>
        <w:pStyle w:val="ListParagraph"/>
        <w:spacing w:after="0" w:line="240" w:lineRule="auto"/>
        <w:ind w:left="0" w:firstLine="284"/>
        <w:jc w:val="both"/>
        <w:rPr>
          <w:rFonts w:ascii="Times New Roman" w:hAnsi="Times New Roman"/>
          <w:sz w:val="24"/>
          <w:szCs w:val="24"/>
        </w:rPr>
      </w:pPr>
      <w:r w:rsidRPr="00160390">
        <w:rPr>
          <w:rFonts w:ascii="Times New Roman" w:hAnsi="Times New Roman"/>
          <w:sz w:val="24"/>
          <w:szCs w:val="24"/>
        </w:rPr>
        <w:t>Sidang pertama pada kasus DS593 dilakukan pada 6 April 2021</w:t>
      </w:r>
      <w:r>
        <w:rPr>
          <w:rFonts w:ascii="Times New Roman" w:hAnsi="Times New Roman"/>
          <w:sz w:val="24"/>
          <w:szCs w:val="24"/>
        </w:rPr>
        <w:t xml:space="preserve"> sebagai sub-kegiatan dari panel untuk menyelesaikan sengketa</w:t>
      </w:r>
      <w:r w:rsidRPr="00160390">
        <w:rPr>
          <w:rFonts w:ascii="Times New Roman" w:hAnsi="Times New Roman"/>
          <w:sz w:val="24"/>
          <w:szCs w:val="24"/>
        </w:rPr>
        <w:t xml:space="preserve">. Dalam prosesnya, </w:t>
      </w:r>
      <w:r>
        <w:rPr>
          <w:rFonts w:ascii="Times New Roman" w:hAnsi="Times New Roman"/>
          <w:sz w:val="24"/>
          <w:szCs w:val="24"/>
        </w:rPr>
        <w:t>Para pihak yang bersengketa menyampaikan posisinya masing-masing. Pada sidang juga setiap pihak ketiga yang telah memberitahukan kepentingan mereka diundang untuk menyampaikan pandangan mereka selama sesi sidang (Appendix 3 poin 6)</w:t>
      </w:r>
      <w:r w:rsidRPr="006E0F0B">
        <w:rPr>
          <w:rFonts w:ascii="Times New Roman" w:hAnsi="Times New Roman"/>
          <w:sz w:val="24"/>
          <w:szCs w:val="24"/>
        </w:rPr>
        <w:t xml:space="preserve">. Setelah dilakukan sidang, para pihak biasanya diminta untuk menyerahkan jawaban tertulis atas pertanyaan panel dan pihak lain. Terlepas dari apakah sudah dibahas secara lisan. Biasanya jangka waktunya dalam beberapa hari. </w:t>
      </w:r>
    </w:p>
    <w:p w14:paraId="3A38E6F8" w14:textId="1ABFDB77" w:rsidR="002D7483" w:rsidRDefault="002D7483" w:rsidP="009615B3">
      <w:pPr>
        <w:pStyle w:val="ListParagraph"/>
        <w:spacing w:after="0" w:line="240" w:lineRule="auto"/>
        <w:ind w:left="0" w:firstLine="284"/>
        <w:jc w:val="both"/>
        <w:rPr>
          <w:rFonts w:ascii="Times New Roman" w:hAnsi="Times New Roman"/>
          <w:sz w:val="24"/>
          <w:szCs w:val="24"/>
        </w:rPr>
      </w:pPr>
      <w:r w:rsidRPr="00160390">
        <w:rPr>
          <w:rFonts w:ascii="Times New Roman" w:hAnsi="Times New Roman"/>
          <w:sz w:val="24"/>
          <w:szCs w:val="24"/>
        </w:rPr>
        <w:t xml:space="preserve">Ada sekitar 117 pertanyaan yang diajukan untuk UE. Pertanyaan yang ada seputar tindakan UE mengenai RED II dan </w:t>
      </w:r>
      <w:r w:rsidRPr="00160390">
        <w:rPr>
          <w:rFonts w:ascii="Times New Roman" w:hAnsi="Times New Roman"/>
          <w:i/>
          <w:iCs/>
          <w:sz w:val="24"/>
          <w:szCs w:val="24"/>
        </w:rPr>
        <w:t>Delegated Regulation</w:t>
      </w:r>
      <w:r w:rsidRPr="00160390">
        <w:rPr>
          <w:rFonts w:ascii="Times New Roman" w:hAnsi="Times New Roman"/>
          <w:sz w:val="24"/>
          <w:szCs w:val="24"/>
        </w:rPr>
        <w:t xml:space="preserve">. UE memberikan jawaban tertulis atas pertanyaan panel pada tanggal 17 Mei 2021. </w:t>
      </w:r>
    </w:p>
    <w:p w14:paraId="4D5335E7" w14:textId="03B32705" w:rsidR="002D7483" w:rsidRDefault="002D7483" w:rsidP="009615B3">
      <w:pPr>
        <w:pStyle w:val="ListParagraph"/>
        <w:spacing w:after="0" w:line="240" w:lineRule="auto"/>
        <w:ind w:left="0" w:firstLine="284"/>
        <w:jc w:val="both"/>
        <w:rPr>
          <w:rFonts w:ascii="Times New Roman" w:hAnsi="Times New Roman"/>
          <w:sz w:val="24"/>
          <w:szCs w:val="24"/>
          <w:lang w:val="en-US"/>
        </w:rPr>
      </w:pPr>
      <w:r w:rsidRPr="00160390">
        <w:rPr>
          <w:rFonts w:ascii="Times New Roman" w:hAnsi="Times New Roman"/>
          <w:sz w:val="24"/>
          <w:szCs w:val="24"/>
        </w:rPr>
        <w:t>Adapun pertanyaan Panel adalah mengenai pasal 26 RED II yang dituntut oleh Indonesia karena dianggap tidak sesuai dengan aturan WTO terutama pada pasal III, XI, XX GATT 1944. Pasal 26 RED II dianggap melakukan diskriminasi terhadap produk kelapa sawit. Adanya perlakuan berbeda dengan minyak nabati yang juga menjadi bahan baku biofuel. Selain itu pembatasan kualitatif dengan memberikan penalti terhadap operator energi yang menggunakan CPO sebagai bahan baku. Pasal 26 tersebut dianggap tidak konsisten dengan pasal XX GATT 1994</w:t>
      </w:r>
      <w:r>
        <w:rPr>
          <w:rFonts w:ascii="Times New Roman" w:hAnsi="Times New Roman"/>
          <w:sz w:val="24"/>
          <w:szCs w:val="24"/>
          <w:lang w:val="en-US"/>
        </w:rPr>
        <w:t>.</w:t>
      </w:r>
    </w:p>
    <w:p w14:paraId="1C5E9D60" w14:textId="21FE48FF" w:rsidR="00F77C4B" w:rsidRDefault="002D7483" w:rsidP="009615B3">
      <w:pPr>
        <w:pStyle w:val="ListParagraph"/>
        <w:spacing w:after="0" w:line="240" w:lineRule="auto"/>
        <w:ind w:left="0" w:firstLine="284"/>
        <w:jc w:val="both"/>
        <w:rPr>
          <w:rFonts w:ascii="Times New Roman" w:hAnsi="Times New Roman"/>
          <w:sz w:val="24"/>
          <w:szCs w:val="24"/>
        </w:rPr>
      </w:pPr>
      <w:r>
        <w:rPr>
          <w:rFonts w:ascii="Times New Roman" w:hAnsi="Times New Roman"/>
          <w:sz w:val="24"/>
          <w:szCs w:val="24"/>
          <w:lang w:val="en-US"/>
        </w:rPr>
        <w:t>UE memberikan jawaban terkait Pasal 26</w:t>
      </w:r>
      <w:r w:rsidR="00F77C4B">
        <w:rPr>
          <w:rFonts w:ascii="Times New Roman" w:hAnsi="Times New Roman"/>
          <w:sz w:val="24"/>
          <w:szCs w:val="24"/>
          <w:lang w:val="en-US"/>
        </w:rPr>
        <w:t xml:space="preserve"> RED II, dan menanggapi indikasi pelanggaran terhadap perjanjian TBT serta GATT 1994. </w:t>
      </w:r>
      <w:r>
        <w:rPr>
          <w:rFonts w:ascii="Times New Roman" w:hAnsi="Times New Roman"/>
          <w:sz w:val="24"/>
          <w:szCs w:val="24"/>
          <w:lang w:val="en-US"/>
        </w:rPr>
        <w:t xml:space="preserve">UE tidak melakukan diskriminasi terhadap CPO dan </w:t>
      </w:r>
      <w:r w:rsidR="00F77C4B" w:rsidRPr="00160390">
        <w:rPr>
          <w:rFonts w:ascii="Times New Roman" w:hAnsi="Times New Roman"/>
          <w:sz w:val="24"/>
          <w:szCs w:val="24"/>
        </w:rPr>
        <w:t>UE juga menanggapi jika mereka tidak membantah mengenai sembilan studi terkemuka yang diklaim oleh Indonesia mengenai studi ilmiah yang menunjukkan jika minyak nabati lain seperti RSO memiliki risiko ILUC tinggi. Namun, fakta tersebut menurut UE tidak cukup untuk mendukung klaim Indonesia mengenai adanya diskriminasi berdasarkan perjanjian TBT dan GATT karena Indonesia tidak jelas atas dasar apa memilih sembilan studi terkemuka tersebut. Terlebih UE sadar jika ada banyak variasi dalam studi sehingga mempengaruhi hasil dari suatu penelitian sehingga kinerja emisi biofuel tidak bisa diterapkan dalam bentuk nilai. Alasan tersebut yang membuat UE pada akhirnya menentukan ILUC berdasarkan ekspansi yang diamati ke lahan dengan stok karbon tinggi.</w:t>
      </w:r>
    </w:p>
    <w:p w14:paraId="50EF8FB6" w14:textId="20C12C9E" w:rsidR="00F77C4B" w:rsidRPr="00867313" w:rsidRDefault="00F77C4B" w:rsidP="009615B3">
      <w:pPr>
        <w:pStyle w:val="ListParagraph"/>
        <w:spacing w:after="0" w:line="240" w:lineRule="auto"/>
        <w:ind w:left="0" w:firstLine="284"/>
        <w:jc w:val="both"/>
        <w:rPr>
          <w:rFonts w:ascii="Times New Roman" w:hAnsi="Times New Roman"/>
          <w:sz w:val="24"/>
          <w:szCs w:val="24"/>
        </w:rPr>
      </w:pPr>
      <w:r>
        <w:rPr>
          <w:rFonts w:ascii="Times New Roman" w:hAnsi="Times New Roman"/>
          <w:sz w:val="24"/>
          <w:szCs w:val="24"/>
        </w:rPr>
        <w:lastRenderedPageBreak/>
        <w:t xml:space="preserve">Setelah sidang pertama dilakukan, para pihak mengajukan sanggahan tertulis yang disampaikan dan didiskusikan pada sidang kedua. Pengajuan tertulis harus diajukan secara bersamaan (Pasal 12 Ayat 6 DSU). </w:t>
      </w:r>
    </w:p>
    <w:p w14:paraId="0887617B" w14:textId="552BF201" w:rsidR="00F77C4B" w:rsidRPr="00F77C4B" w:rsidRDefault="00F77C4B" w:rsidP="009615B3">
      <w:pPr>
        <w:pStyle w:val="ListParagraph"/>
        <w:numPr>
          <w:ilvl w:val="0"/>
          <w:numId w:val="3"/>
        </w:numPr>
        <w:spacing w:after="0" w:line="240" w:lineRule="auto"/>
        <w:ind w:left="284" w:hanging="284"/>
        <w:jc w:val="both"/>
        <w:rPr>
          <w:rFonts w:ascii="Times New Roman" w:hAnsi="Times New Roman"/>
          <w:b/>
          <w:bCs/>
          <w:sz w:val="24"/>
          <w:szCs w:val="24"/>
          <w:lang w:val="en-US"/>
        </w:rPr>
      </w:pPr>
      <w:r w:rsidRPr="00F77C4B">
        <w:rPr>
          <w:rFonts w:ascii="Times New Roman" w:hAnsi="Times New Roman"/>
          <w:b/>
          <w:bCs/>
          <w:sz w:val="24"/>
          <w:szCs w:val="24"/>
          <w:lang w:val="en-US"/>
        </w:rPr>
        <w:t>Sidang Kedua</w:t>
      </w:r>
    </w:p>
    <w:p w14:paraId="560BCE56" w14:textId="77777777" w:rsidR="009615B3" w:rsidRPr="004B71E9" w:rsidRDefault="009615B3" w:rsidP="009615B3">
      <w:pPr>
        <w:pStyle w:val="ListParagraph"/>
        <w:spacing w:after="0" w:line="240" w:lineRule="auto"/>
        <w:ind w:left="0" w:firstLine="284"/>
        <w:jc w:val="both"/>
        <w:rPr>
          <w:rFonts w:ascii="Times New Roman" w:hAnsi="Times New Roman"/>
          <w:sz w:val="24"/>
          <w:szCs w:val="24"/>
        </w:rPr>
      </w:pPr>
      <w:bookmarkStart w:id="2" w:name="_Hlk122970896"/>
      <w:r w:rsidRPr="00160390">
        <w:rPr>
          <w:rFonts w:ascii="Times New Roman" w:hAnsi="Times New Roman"/>
          <w:sz w:val="24"/>
          <w:szCs w:val="24"/>
        </w:rPr>
        <w:t>Pada sidang kedua ini dikatakan jika akan dilaksanakan pada akhir tahun 2021 (Wahyudi, 2021)</w:t>
      </w:r>
      <w:r>
        <w:rPr>
          <w:rFonts w:ascii="Times New Roman" w:hAnsi="Times New Roman"/>
          <w:sz w:val="24"/>
          <w:szCs w:val="24"/>
        </w:rPr>
        <w:t xml:space="preserve">. Berdasarkan </w:t>
      </w:r>
      <w:r w:rsidRPr="00383D03">
        <w:rPr>
          <w:rFonts w:ascii="Times New Roman" w:hAnsi="Times New Roman"/>
          <w:sz w:val="24"/>
          <w:szCs w:val="24"/>
        </w:rPr>
        <w:t>U.S.</w:t>
      </w:r>
      <w:r w:rsidRPr="00383D03">
        <w:rPr>
          <w:rFonts w:ascii="Times New Roman" w:hAnsi="Times New Roman"/>
          <w:i/>
          <w:iCs/>
          <w:sz w:val="24"/>
          <w:szCs w:val="24"/>
        </w:rPr>
        <w:t xml:space="preserve"> Climate Change Litigation</w:t>
      </w:r>
      <w:r w:rsidRPr="00383D03">
        <w:rPr>
          <w:rFonts w:ascii="Times New Roman" w:hAnsi="Times New Roman"/>
          <w:sz w:val="24"/>
          <w:szCs w:val="24"/>
        </w:rPr>
        <w:t xml:space="preserve"> kasus DS593</w:t>
      </w:r>
      <w:r>
        <w:rPr>
          <w:rFonts w:ascii="Times New Roman" w:hAnsi="Times New Roman"/>
          <w:sz w:val="24"/>
          <w:szCs w:val="24"/>
        </w:rPr>
        <w:t>, UE membuat</w:t>
      </w:r>
      <w:r w:rsidRPr="00383D03">
        <w:rPr>
          <w:rFonts w:ascii="Times New Roman" w:hAnsi="Times New Roman"/>
          <w:sz w:val="24"/>
          <w:szCs w:val="24"/>
        </w:rPr>
        <w:t xml:space="preserve"> pengajuan tertulis kedua pada tanggal 2 juli 2021.</w:t>
      </w:r>
      <w:r>
        <w:rPr>
          <w:rFonts w:ascii="Times New Roman" w:hAnsi="Times New Roman"/>
          <w:sz w:val="24"/>
          <w:szCs w:val="24"/>
        </w:rPr>
        <w:t xml:space="preserve"> Berdasarkan aturan yang ada setelah adanya ajuan tertulis akan segera dilaksanakan sidang. Namun</w:t>
      </w:r>
      <w:bookmarkEnd w:id="2"/>
      <w:r>
        <w:rPr>
          <w:rFonts w:ascii="Times New Roman" w:hAnsi="Times New Roman"/>
          <w:sz w:val="24"/>
          <w:szCs w:val="24"/>
        </w:rPr>
        <w:t xml:space="preserve">, </w:t>
      </w:r>
      <w:r w:rsidRPr="00383D03">
        <w:rPr>
          <w:rFonts w:ascii="Times New Roman" w:hAnsi="Times New Roman"/>
          <w:sz w:val="24"/>
          <w:szCs w:val="24"/>
        </w:rPr>
        <w:t>berdasarkan U.S.</w:t>
      </w:r>
      <w:r w:rsidRPr="00383D03">
        <w:rPr>
          <w:rFonts w:ascii="Times New Roman" w:hAnsi="Times New Roman"/>
          <w:i/>
          <w:iCs/>
          <w:sz w:val="24"/>
          <w:szCs w:val="24"/>
        </w:rPr>
        <w:t xml:space="preserve"> Climate Change Litigation</w:t>
      </w:r>
      <w:r w:rsidRPr="00383D03">
        <w:rPr>
          <w:rFonts w:ascii="Times New Roman" w:hAnsi="Times New Roman"/>
          <w:sz w:val="24"/>
          <w:szCs w:val="24"/>
        </w:rPr>
        <w:t xml:space="preserve"> kasus DS593 ditunda. </w:t>
      </w:r>
    </w:p>
    <w:p w14:paraId="43E861F9" w14:textId="77777777" w:rsidR="002D51EB" w:rsidRPr="00A510E9" w:rsidRDefault="002D51EB" w:rsidP="002D51EB">
      <w:pPr>
        <w:spacing w:after="0" w:line="240" w:lineRule="auto"/>
        <w:jc w:val="both"/>
        <w:rPr>
          <w:rFonts w:ascii="Times New Roman" w:hAnsi="Times New Roman"/>
          <w:b/>
          <w:color w:val="000000"/>
          <w:sz w:val="24"/>
          <w:szCs w:val="24"/>
          <w:lang w:val="en-US"/>
        </w:rPr>
      </w:pPr>
      <w:r w:rsidRPr="00A510E9">
        <w:rPr>
          <w:rFonts w:ascii="Times New Roman" w:hAnsi="Times New Roman"/>
          <w:b/>
          <w:color w:val="000000"/>
          <w:sz w:val="24"/>
          <w:szCs w:val="24"/>
          <w:lang w:val="en-US"/>
        </w:rPr>
        <w:t>Kesimpulan</w:t>
      </w:r>
    </w:p>
    <w:p w14:paraId="3FE44947" w14:textId="4CBA7200" w:rsidR="00D33D2D" w:rsidRPr="00160390" w:rsidRDefault="00D33D2D" w:rsidP="00D36CAA">
      <w:pPr>
        <w:pStyle w:val="ListParagraph"/>
        <w:spacing w:after="0" w:line="240" w:lineRule="auto"/>
        <w:ind w:left="0" w:firstLine="426"/>
        <w:jc w:val="both"/>
        <w:rPr>
          <w:rFonts w:ascii="Times New Roman" w:hAnsi="Times New Roman"/>
          <w:sz w:val="24"/>
          <w:szCs w:val="24"/>
        </w:rPr>
      </w:pPr>
      <w:r w:rsidRPr="00160390">
        <w:rPr>
          <w:rFonts w:ascii="Times New Roman" w:hAnsi="Times New Roman"/>
          <w:i/>
          <w:iCs/>
          <w:sz w:val="24"/>
          <w:szCs w:val="24"/>
        </w:rPr>
        <w:t>Crude Palm Oil</w:t>
      </w:r>
      <w:r w:rsidRPr="00160390">
        <w:rPr>
          <w:rFonts w:ascii="Times New Roman" w:hAnsi="Times New Roman"/>
          <w:sz w:val="24"/>
          <w:szCs w:val="24"/>
        </w:rPr>
        <w:t xml:space="preserve"> (CPO) adalah salah satu komoditas ekspor utama Indonesia sehingga CPO memiliki peranan penting dalam perekonomian Indonesia sejak tahun 2008. Oleh karena itu permintaan pasar membuat Indonesia semakin meningkatkan jumlah produksi CPO setiap tahunnya. Pasar ekspor utama Indonesia salah satunya ialah Uni Eropa (UE). CPO digunakan untuk berbagai hal di negara-negara anggota UE terutama sebagai bahan baku biofuel. Namun, pada tahun 2018 UE mengeluarkan kebijakan </w:t>
      </w:r>
      <w:r w:rsidRPr="00160390">
        <w:rPr>
          <w:rFonts w:ascii="Times New Roman" w:hAnsi="Times New Roman"/>
          <w:i/>
          <w:iCs/>
          <w:sz w:val="24"/>
          <w:szCs w:val="24"/>
        </w:rPr>
        <w:t>Renewable Energy Directive</w:t>
      </w:r>
      <w:r w:rsidRPr="00160390">
        <w:rPr>
          <w:rFonts w:ascii="Times New Roman" w:hAnsi="Times New Roman"/>
          <w:sz w:val="24"/>
          <w:szCs w:val="24"/>
        </w:rPr>
        <w:t xml:space="preserve"> II (RED II) sebagai lanjutan dari RED di tahun 2009. RED II meningkatkan penggunaan energi terbarukan sebanyak 32%. Selain itu UE mengeluarkan </w:t>
      </w:r>
      <w:r w:rsidRPr="00160390">
        <w:rPr>
          <w:rFonts w:ascii="Times New Roman" w:hAnsi="Times New Roman"/>
          <w:i/>
          <w:iCs/>
          <w:sz w:val="24"/>
          <w:szCs w:val="24"/>
        </w:rPr>
        <w:t>Delegated Regulation</w:t>
      </w:r>
      <w:r w:rsidRPr="00160390">
        <w:rPr>
          <w:rFonts w:ascii="Times New Roman" w:hAnsi="Times New Roman"/>
          <w:sz w:val="24"/>
          <w:szCs w:val="24"/>
        </w:rPr>
        <w:t xml:space="preserve"> sebagai pedoman lanjutan yang di sana CPO akan dikurangi penggunaannya hingga mencapai 0% di tahun 2030 karena CPO satu-satunya minyak nabati yang masuk kedalam kategori risiko ILUC tinggi. Kelapa sawit dianggap mengakibatkan deforestasi pada hutan.</w:t>
      </w:r>
    </w:p>
    <w:p w14:paraId="20BF9F27" w14:textId="605F1256" w:rsidR="001804DA" w:rsidRDefault="00D33D2D" w:rsidP="00D36CAA">
      <w:pPr>
        <w:pStyle w:val="ListParagraph"/>
        <w:spacing w:after="0" w:line="240" w:lineRule="auto"/>
        <w:ind w:left="0" w:firstLine="284"/>
        <w:jc w:val="both"/>
        <w:rPr>
          <w:rFonts w:ascii="Times New Roman" w:hAnsi="Times New Roman"/>
          <w:sz w:val="24"/>
          <w:szCs w:val="24"/>
        </w:rPr>
      </w:pPr>
      <w:r w:rsidRPr="00160390">
        <w:rPr>
          <w:rFonts w:ascii="Times New Roman" w:hAnsi="Times New Roman"/>
          <w:sz w:val="24"/>
          <w:szCs w:val="24"/>
        </w:rPr>
        <w:t xml:space="preserve">Indonesia telah berupaya dalam menjaga lingkungan dan telah berdiskusi dengan UE. Namun, UE tetap memberlakukan kebijakan tersebut sehingga Indonesia menuntut UE di WTO karena dianggap mendiskriminasi CPO Indonesia pada 9 Desember 2019 dengan nomor kasus DS593, dan diadakan konsultasi 19 Februari 2020. Sengketa kelapa sawit ini berlanjut hingga ke panel sidang kedua. Sampai dengan bulan Desember 2022, sengketa ini masih ditunda dan belum mengeluarkan hasil. </w:t>
      </w:r>
    </w:p>
    <w:p w14:paraId="3A4F68E0" w14:textId="77777777" w:rsidR="00D06DE9" w:rsidRPr="00D06DE9" w:rsidRDefault="00D06DE9" w:rsidP="00D06DE9">
      <w:pPr>
        <w:pStyle w:val="ListParagraph"/>
        <w:spacing w:after="0" w:line="240" w:lineRule="auto"/>
        <w:ind w:left="0" w:firstLine="709"/>
        <w:jc w:val="both"/>
        <w:rPr>
          <w:rFonts w:ascii="Times New Roman" w:hAnsi="Times New Roman"/>
          <w:sz w:val="24"/>
          <w:szCs w:val="24"/>
        </w:rPr>
      </w:pPr>
    </w:p>
    <w:p w14:paraId="38F6925A" w14:textId="36197A4D" w:rsidR="002A3915" w:rsidRDefault="007A3478" w:rsidP="005F1D41">
      <w:pPr>
        <w:spacing w:after="0" w:line="240" w:lineRule="auto"/>
        <w:jc w:val="both"/>
        <w:rPr>
          <w:rFonts w:ascii="Times New Roman" w:hAnsi="Times New Roman"/>
          <w:b/>
          <w:color w:val="000000"/>
          <w:sz w:val="24"/>
          <w:szCs w:val="24"/>
          <w:lang w:val="en-US"/>
        </w:rPr>
      </w:pPr>
      <w:r w:rsidRPr="00A510E9">
        <w:rPr>
          <w:rFonts w:ascii="Times New Roman" w:hAnsi="Times New Roman"/>
          <w:b/>
          <w:color w:val="000000"/>
          <w:sz w:val="24"/>
          <w:szCs w:val="24"/>
        </w:rPr>
        <w:t>Daftar Pustaka</w:t>
      </w:r>
    </w:p>
    <w:p w14:paraId="3D7FB61C" w14:textId="57816C26" w:rsidR="002A5D8F" w:rsidRDefault="002A5D8F" w:rsidP="002A5D8F">
      <w:pPr>
        <w:pStyle w:val="Bibliography"/>
        <w:spacing w:after="0" w:line="240" w:lineRule="auto"/>
        <w:ind w:left="720" w:hanging="720"/>
        <w:jc w:val="both"/>
        <w:rPr>
          <w:rFonts w:ascii="Times New Roman" w:hAnsi="Times New Roman" w:cs="Times New Roman"/>
          <w:noProof/>
          <w:sz w:val="24"/>
          <w:szCs w:val="24"/>
        </w:rPr>
      </w:pPr>
      <w:r w:rsidRPr="00160390">
        <w:rPr>
          <w:rFonts w:ascii="Times New Roman" w:hAnsi="Times New Roman" w:cs="Times New Roman"/>
          <w:noProof/>
          <w:sz w:val="24"/>
          <w:szCs w:val="24"/>
        </w:rPr>
        <w:t xml:space="preserve">Adharsyah, T. 2019. </w:t>
      </w:r>
      <w:r w:rsidRPr="002A5D8F">
        <w:rPr>
          <w:rFonts w:ascii="Times New Roman" w:hAnsi="Times New Roman" w:cs="Times New Roman"/>
          <w:noProof/>
          <w:sz w:val="24"/>
          <w:szCs w:val="24"/>
        </w:rPr>
        <w:t>"Sebabkan Defisit Parah, Ini 4 Alasan Harga CPO Terjun Bebas"</w:t>
      </w:r>
      <w:r w:rsidRPr="00160390">
        <w:rPr>
          <w:rFonts w:ascii="Times New Roman" w:hAnsi="Times New Roman" w:cs="Times New Roman"/>
          <w:noProof/>
          <w:sz w:val="24"/>
          <w:szCs w:val="24"/>
        </w:rPr>
        <w:t>. Tersedia</w:t>
      </w:r>
      <w:r>
        <w:rPr>
          <w:rFonts w:ascii="Times New Roman" w:hAnsi="Times New Roman" w:cs="Times New Roman"/>
          <w:noProof/>
          <w:sz w:val="24"/>
          <w:szCs w:val="24"/>
        </w:rPr>
        <w:t xml:space="preserve"> di </w:t>
      </w:r>
      <w:hyperlink r:id="rId12" w:history="1">
        <w:r w:rsidR="00F01610" w:rsidRPr="004848B6">
          <w:rPr>
            <w:rStyle w:val="Hyperlink"/>
            <w:rFonts w:ascii="Times New Roman" w:hAnsi="Times New Roman"/>
            <w:noProof/>
            <w:sz w:val="24"/>
            <w:szCs w:val="24"/>
          </w:rPr>
          <w:t>https://www.cnbcindonesia.com/market/20190516150147-17-72967/sebabkan-defisit-parah-ini-4-alasan-harga-cpo-terjun-bebas</w:t>
        </w:r>
      </w:hyperlink>
    </w:p>
    <w:p w14:paraId="4F1CCC65" w14:textId="3FF04AA2" w:rsidR="00F01610" w:rsidRPr="00F01610" w:rsidRDefault="00F01610" w:rsidP="00F01610">
      <w:pPr>
        <w:spacing w:after="0" w:line="240" w:lineRule="auto"/>
        <w:ind w:left="709" w:hanging="709"/>
        <w:jc w:val="both"/>
        <w:rPr>
          <w:rFonts w:ascii="Times New Roman" w:hAnsi="Times New Roman"/>
          <w:sz w:val="24"/>
          <w:szCs w:val="24"/>
          <w:lang w:val="en-US"/>
        </w:rPr>
      </w:pPr>
      <w:r w:rsidRPr="00760DCC">
        <w:rPr>
          <w:rFonts w:ascii="Times New Roman" w:hAnsi="Times New Roman"/>
          <w:sz w:val="24"/>
          <w:szCs w:val="24"/>
        </w:rPr>
        <w:t>Andilala &amp; Ardiansyah, Slamet. 2021." Mencari Solusi atasi Konflik kelapa sawit". Antara News, Januari 21.  Tersedia di https://www.antaranews.com/berita/1959308/mencari-solusi-atasi-konflik-kelapa-sawit</w:t>
      </w:r>
    </w:p>
    <w:p w14:paraId="113A3B6E" w14:textId="170AFA65" w:rsidR="002A5D8F" w:rsidRDefault="002A5D8F" w:rsidP="002A5D8F">
      <w:pPr>
        <w:spacing w:after="0" w:line="240" w:lineRule="auto"/>
        <w:ind w:left="709" w:hanging="709"/>
        <w:jc w:val="both"/>
        <w:rPr>
          <w:rFonts w:ascii="Times New Roman" w:hAnsi="Times New Roman"/>
          <w:sz w:val="24"/>
          <w:szCs w:val="24"/>
        </w:rPr>
      </w:pPr>
      <w:r w:rsidRPr="00160390">
        <w:rPr>
          <w:rFonts w:ascii="Times New Roman" w:hAnsi="Times New Roman"/>
          <w:sz w:val="24"/>
          <w:szCs w:val="24"/>
        </w:rPr>
        <w:t xml:space="preserve">Arumingtyas, Lusia. 2020. </w:t>
      </w:r>
      <w:r w:rsidRPr="002A5D8F">
        <w:rPr>
          <w:rFonts w:ascii="Times New Roman" w:hAnsi="Times New Roman"/>
          <w:sz w:val="24"/>
          <w:szCs w:val="24"/>
        </w:rPr>
        <w:t>"Perpres ISPO Terbit, Akankah Perkuat Perbaikan Tata</w:t>
      </w:r>
      <w:r w:rsidRPr="00160390">
        <w:rPr>
          <w:rFonts w:ascii="Times New Roman" w:hAnsi="Times New Roman"/>
          <w:i/>
          <w:iCs/>
          <w:sz w:val="24"/>
          <w:szCs w:val="24"/>
        </w:rPr>
        <w:t xml:space="preserve"> </w:t>
      </w:r>
      <w:r w:rsidRPr="002A5D8F">
        <w:rPr>
          <w:rFonts w:ascii="Times New Roman" w:hAnsi="Times New Roman"/>
          <w:sz w:val="24"/>
          <w:szCs w:val="24"/>
        </w:rPr>
        <w:t>Kelola Sawit?".</w:t>
      </w:r>
      <w:r w:rsidRPr="00160390">
        <w:rPr>
          <w:rFonts w:ascii="Times New Roman" w:hAnsi="Times New Roman"/>
          <w:i/>
          <w:iCs/>
          <w:sz w:val="24"/>
          <w:szCs w:val="24"/>
        </w:rPr>
        <w:t xml:space="preserve"> </w:t>
      </w:r>
      <w:r w:rsidRPr="00160390">
        <w:rPr>
          <w:rFonts w:ascii="Times New Roman" w:hAnsi="Times New Roman"/>
          <w:sz w:val="24"/>
          <w:szCs w:val="24"/>
        </w:rPr>
        <w:t xml:space="preserve">Tersedia di </w:t>
      </w:r>
      <w:hyperlink r:id="rId13" w:history="1">
        <w:r w:rsidRPr="000656C3">
          <w:rPr>
            <w:rStyle w:val="Hyperlink"/>
            <w:rFonts w:ascii="Times New Roman" w:hAnsi="Times New Roman"/>
            <w:sz w:val="24"/>
            <w:szCs w:val="24"/>
          </w:rPr>
          <w:t>https://www.mongabay.co.id/2020/04/16/perpres-ispo-terbit-akankah-perkuat-perbaikan-tata-kelola-sawit/</w:t>
        </w:r>
      </w:hyperlink>
    </w:p>
    <w:p w14:paraId="55944A4C" w14:textId="75EC4152" w:rsidR="002A5D8F" w:rsidRDefault="002A5D8F" w:rsidP="002A5D8F">
      <w:pPr>
        <w:spacing w:after="0" w:line="240" w:lineRule="auto"/>
        <w:ind w:left="709" w:hanging="709"/>
        <w:jc w:val="both"/>
        <w:rPr>
          <w:rFonts w:ascii="Times New Roman" w:hAnsi="Times New Roman"/>
          <w:sz w:val="24"/>
          <w:szCs w:val="24"/>
        </w:rPr>
      </w:pPr>
      <w:r w:rsidRPr="00160390">
        <w:rPr>
          <w:rFonts w:ascii="Times New Roman" w:hAnsi="Times New Roman"/>
          <w:sz w:val="24"/>
          <w:szCs w:val="24"/>
        </w:rPr>
        <w:t>Badan Pusat Statistik. 202</w:t>
      </w:r>
      <w:r w:rsidR="00B80241">
        <w:rPr>
          <w:rFonts w:ascii="Times New Roman" w:hAnsi="Times New Roman"/>
          <w:sz w:val="24"/>
          <w:szCs w:val="24"/>
          <w:lang w:val="en-US"/>
        </w:rPr>
        <w:t>1</w:t>
      </w:r>
      <w:r w:rsidRPr="00160390">
        <w:rPr>
          <w:rFonts w:ascii="Times New Roman" w:hAnsi="Times New Roman"/>
          <w:i/>
          <w:iCs/>
          <w:sz w:val="24"/>
          <w:szCs w:val="24"/>
        </w:rPr>
        <w:t>. “Statistik Kelapa Sawit 20</w:t>
      </w:r>
      <w:r w:rsidR="00B80241">
        <w:rPr>
          <w:rFonts w:ascii="Times New Roman" w:hAnsi="Times New Roman"/>
          <w:i/>
          <w:iCs/>
          <w:sz w:val="24"/>
          <w:szCs w:val="24"/>
          <w:lang w:val="en-US"/>
        </w:rPr>
        <w:t>20</w:t>
      </w:r>
      <w:r w:rsidRPr="00160390">
        <w:rPr>
          <w:rFonts w:ascii="Times New Roman" w:hAnsi="Times New Roman"/>
          <w:i/>
          <w:iCs/>
          <w:sz w:val="24"/>
          <w:szCs w:val="24"/>
        </w:rPr>
        <w:t>”</w:t>
      </w:r>
      <w:r w:rsidRPr="00160390">
        <w:rPr>
          <w:rFonts w:ascii="Times New Roman" w:hAnsi="Times New Roman"/>
          <w:sz w:val="24"/>
          <w:szCs w:val="24"/>
        </w:rPr>
        <w:t>. Jakarta. Badan Pusat Statistik.</w:t>
      </w:r>
    </w:p>
    <w:p w14:paraId="63CDB32C" w14:textId="29E52BE5" w:rsidR="002A5D8F" w:rsidRDefault="002A5D8F" w:rsidP="00B40DCB">
      <w:pPr>
        <w:pStyle w:val="Bibliography"/>
        <w:spacing w:after="0" w:line="240" w:lineRule="auto"/>
        <w:ind w:left="720" w:hanging="720"/>
        <w:jc w:val="both"/>
        <w:rPr>
          <w:rFonts w:ascii="Times New Roman" w:hAnsi="Times New Roman" w:cs="Times New Roman"/>
          <w:noProof/>
          <w:sz w:val="24"/>
          <w:szCs w:val="24"/>
        </w:rPr>
      </w:pPr>
      <w:r w:rsidRPr="00160390">
        <w:rPr>
          <w:rFonts w:ascii="Times New Roman" w:hAnsi="Times New Roman" w:cs="Times New Roman"/>
          <w:noProof/>
          <w:sz w:val="24"/>
          <w:szCs w:val="24"/>
        </w:rPr>
        <w:t xml:space="preserve">Comission, E. 2020. </w:t>
      </w:r>
      <w:r w:rsidRPr="00160390">
        <w:rPr>
          <w:rFonts w:ascii="Times New Roman" w:hAnsi="Times New Roman" w:cs="Times New Roman"/>
          <w:i/>
          <w:iCs/>
          <w:noProof/>
          <w:sz w:val="24"/>
          <w:szCs w:val="24"/>
        </w:rPr>
        <w:t>RED II.</w:t>
      </w:r>
      <w:r w:rsidRPr="00160390">
        <w:rPr>
          <w:rFonts w:ascii="Times New Roman" w:hAnsi="Times New Roman" w:cs="Times New Roman"/>
          <w:noProof/>
          <w:sz w:val="24"/>
          <w:szCs w:val="24"/>
        </w:rPr>
        <w:t xml:space="preserve"> Tersedia di </w:t>
      </w:r>
      <w:hyperlink r:id="rId14" w:history="1">
        <w:r w:rsidR="00B80241" w:rsidRPr="007C05F6">
          <w:rPr>
            <w:rStyle w:val="Hyperlink"/>
            <w:rFonts w:ascii="Times New Roman" w:hAnsi="Times New Roman"/>
            <w:noProof/>
            <w:sz w:val="24"/>
            <w:szCs w:val="24"/>
          </w:rPr>
          <w:t>https://eur-lex.europa.eu/legal-content/EN/TXT/?uri=uriserv:OJ.L_.2018.328.01.0082.01.ENG</w:t>
        </w:r>
      </w:hyperlink>
    </w:p>
    <w:p w14:paraId="7466261A" w14:textId="56B58451" w:rsidR="00B80241" w:rsidRPr="00B80241" w:rsidRDefault="00B80241" w:rsidP="00B80241">
      <w:pPr>
        <w:spacing w:after="0" w:line="240" w:lineRule="auto"/>
        <w:ind w:left="709" w:hanging="709"/>
        <w:jc w:val="both"/>
        <w:rPr>
          <w:rFonts w:ascii="Times New Roman" w:hAnsi="Times New Roman"/>
          <w:sz w:val="24"/>
          <w:szCs w:val="24"/>
        </w:rPr>
      </w:pPr>
      <w:r w:rsidRPr="000F324C">
        <w:rPr>
          <w:rFonts w:ascii="Times New Roman" w:hAnsi="Times New Roman"/>
          <w:sz w:val="24"/>
          <w:szCs w:val="24"/>
        </w:rPr>
        <w:t xml:space="preserve">Coppenhagen Economics. 2018. </w:t>
      </w:r>
      <w:r w:rsidRPr="000F324C">
        <w:rPr>
          <w:rFonts w:ascii="Times New Roman" w:hAnsi="Times New Roman"/>
          <w:i/>
          <w:iCs/>
          <w:sz w:val="24"/>
          <w:szCs w:val="24"/>
        </w:rPr>
        <w:t>"EU Imports of Palm Oil From Indonesia, Malaysia, and Thailand"</w:t>
      </w:r>
      <w:r w:rsidRPr="000F324C">
        <w:rPr>
          <w:rFonts w:ascii="Times New Roman" w:hAnsi="Times New Roman"/>
          <w:sz w:val="24"/>
          <w:szCs w:val="24"/>
        </w:rPr>
        <w:t>. Mei 16. Tersedia di https://copenhageneconomics.com/publication/public-procurement-as-a-source-for-growth-a-dynamic-perspective/</w:t>
      </w:r>
    </w:p>
    <w:p w14:paraId="0C95088D" w14:textId="7C617971" w:rsidR="002A5D8F" w:rsidRDefault="002A5D8F" w:rsidP="002A5D8F">
      <w:pPr>
        <w:spacing w:after="0" w:line="240" w:lineRule="auto"/>
        <w:ind w:left="851" w:hanging="851"/>
        <w:jc w:val="both"/>
        <w:rPr>
          <w:rFonts w:ascii="Times New Roman" w:hAnsi="Times New Roman"/>
          <w:sz w:val="24"/>
          <w:szCs w:val="24"/>
          <w:lang w:val="en-US"/>
        </w:rPr>
      </w:pPr>
      <w:r w:rsidRPr="00160390">
        <w:rPr>
          <w:rFonts w:ascii="Times New Roman" w:hAnsi="Times New Roman"/>
          <w:sz w:val="24"/>
          <w:szCs w:val="24"/>
        </w:rPr>
        <w:lastRenderedPageBreak/>
        <w:t xml:space="preserve">Christiawan, Rio. 2022. "Menyoal Kebijakan Satu Peta". Majalah Sawit Indonesia. Juni 11. Tersedia di </w:t>
      </w:r>
      <w:hyperlink r:id="rId15" w:history="1">
        <w:r w:rsidRPr="000656C3">
          <w:rPr>
            <w:rStyle w:val="Hyperlink"/>
            <w:rFonts w:ascii="Times New Roman" w:hAnsi="Times New Roman"/>
            <w:sz w:val="24"/>
            <w:szCs w:val="24"/>
          </w:rPr>
          <w:t>https://sawitindonesia.com/menyoal-kebijakan-satu-peta</w:t>
        </w:r>
        <w:r w:rsidRPr="000656C3">
          <w:rPr>
            <w:rStyle w:val="Hyperlink"/>
            <w:rFonts w:ascii="Times New Roman" w:hAnsi="Times New Roman"/>
            <w:sz w:val="24"/>
            <w:szCs w:val="24"/>
            <w:lang w:val="en-US"/>
          </w:rPr>
          <w:t>/</w:t>
        </w:r>
      </w:hyperlink>
    </w:p>
    <w:p w14:paraId="0CA0AF2D" w14:textId="0A917143" w:rsidR="002A5D8F" w:rsidRDefault="002A5D8F" w:rsidP="002A5D8F">
      <w:pPr>
        <w:spacing w:after="0" w:line="240" w:lineRule="auto"/>
        <w:ind w:left="851" w:hanging="851"/>
        <w:jc w:val="both"/>
        <w:rPr>
          <w:rFonts w:ascii="Times New Roman" w:hAnsi="Times New Roman"/>
          <w:sz w:val="24"/>
          <w:szCs w:val="24"/>
        </w:rPr>
      </w:pPr>
      <w:r w:rsidRPr="00160390">
        <w:rPr>
          <w:rFonts w:ascii="Times New Roman" w:hAnsi="Times New Roman"/>
          <w:sz w:val="24"/>
          <w:szCs w:val="24"/>
        </w:rPr>
        <w:t xml:space="preserve">DW. 2021. </w:t>
      </w:r>
      <w:r w:rsidRPr="002A5D8F">
        <w:rPr>
          <w:rFonts w:ascii="Times New Roman" w:hAnsi="Times New Roman"/>
          <w:sz w:val="24"/>
          <w:szCs w:val="24"/>
        </w:rPr>
        <w:t>"Refrendum Swiss Setuju Perjanjian Dagang dengan Indonesia"</w:t>
      </w:r>
      <w:r w:rsidR="00B40DCB">
        <w:rPr>
          <w:rFonts w:ascii="Times New Roman" w:hAnsi="Times New Roman"/>
          <w:sz w:val="24"/>
          <w:szCs w:val="24"/>
          <w:lang w:val="en-US"/>
        </w:rPr>
        <w:t>, t</w:t>
      </w:r>
      <w:r w:rsidRPr="00160390">
        <w:rPr>
          <w:rFonts w:ascii="Times New Roman" w:hAnsi="Times New Roman"/>
          <w:sz w:val="24"/>
          <w:szCs w:val="24"/>
        </w:rPr>
        <w:t xml:space="preserve">ersedia di </w:t>
      </w:r>
      <w:hyperlink r:id="rId16" w:history="1">
        <w:r w:rsidRPr="000656C3">
          <w:rPr>
            <w:rStyle w:val="Hyperlink"/>
            <w:rFonts w:ascii="Times New Roman" w:hAnsi="Times New Roman"/>
            <w:sz w:val="24"/>
            <w:szCs w:val="24"/>
          </w:rPr>
          <w:t>https://www.dw.com/id/swiss-sepakati-perdagangan-bebas-minyak-sawit-indonesia/a-56802377</w:t>
        </w:r>
      </w:hyperlink>
    </w:p>
    <w:p w14:paraId="4C5AAB65" w14:textId="688BB271" w:rsidR="002A5D8F" w:rsidRPr="002A5D8F" w:rsidRDefault="002A5D8F" w:rsidP="002A5D8F">
      <w:pPr>
        <w:spacing w:after="0" w:line="240" w:lineRule="auto"/>
        <w:ind w:left="709" w:hanging="709"/>
        <w:jc w:val="both"/>
        <w:rPr>
          <w:rFonts w:ascii="Times New Roman" w:hAnsi="Times New Roman"/>
          <w:sz w:val="24"/>
          <w:szCs w:val="24"/>
        </w:rPr>
      </w:pPr>
      <w:r w:rsidRPr="00160390">
        <w:rPr>
          <w:rFonts w:ascii="Times New Roman" w:hAnsi="Times New Roman"/>
          <w:sz w:val="24"/>
          <w:szCs w:val="24"/>
        </w:rPr>
        <w:t>Nurfatriani, Fitri. dkk. 2018. "Peremajaan Sawit, Selamatkan Hutan</w:t>
      </w:r>
      <w:r w:rsidR="00B40DCB">
        <w:rPr>
          <w:rFonts w:ascii="Times New Roman" w:hAnsi="Times New Roman"/>
          <w:sz w:val="24"/>
          <w:szCs w:val="24"/>
          <w:lang w:val="en-US"/>
        </w:rPr>
        <w:t>, t</w:t>
      </w:r>
      <w:r w:rsidRPr="00160390">
        <w:rPr>
          <w:rFonts w:ascii="Times New Roman" w:hAnsi="Times New Roman"/>
          <w:sz w:val="24"/>
          <w:szCs w:val="24"/>
        </w:rPr>
        <w:t>ersedia di https://forestsnews.cifor.org/58306/peremajaan-sawit-selamatkan-hutan?fnl=en</w:t>
      </w:r>
    </w:p>
    <w:p w14:paraId="5F1D58E4" w14:textId="4BEEC509" w:rsidR="002A5D8F" w:rsidRDefault="002A5D8F" w:rsidP="00B40DCB">
      <w:pPr>
        <w:pStyle w:val="Bibliography"/>
        <w:spacing w:after="0" w:line="240" w:lineRule="auto"/>
        <w:ind w:left="720" w:hanging="720"/>
        <w:jc w:val="both"/>
        <w:rPr>
          <w:rFonts w:ascii="Times New Roman" w:hAnsi="Times New Roman" w:cs="Times New Roman"/>
          <w:noProof/>
          <w:sz w:val="24"/>
          <w:szCs w:val="24"/>
        </w:rPr>
      </w:pPr>
      <w:r w:rsidRPr="00160390">
        <w:rPr>
          <w:rFonts w:ascii="Times New Roman" w:hAnsi="Times New Roman" w:cs="Times New Roman"/>
          <w:noProof/>
          <w:sz w:val="24"/>
          <w:szCs w:val="24"/>
        </w:rPr>
        <w:t xml:space="preserve">Rachman, F. F. 2018. </w:t>
      </w:r>
      <w:r w:rsidRPr="00B40DCB">
        <w:rPr>
          <w:rFonts w:ascii="Times New Roman" w:hAnsi="Times New Roman" w:cs="Times New Roman"/>
          <w:noProof/>
          <w:sz w:val="24"/>
          <w:szCs w:val="24"/>
        </w:rPr>
        <w:t>"Jokowi Resmikan Portal Kebijakan Satu Peta Agustus 2018".</w:t>
      </w:r>
      <w:r w:rsidRPr="00160390">
        <w:rPr>
          <w:rFonts w:ascii="Times New Roman" w:hAnsi="Times New Roman" w:cs="Times New Roman"/>
          <w:noProof/>
          <w:sz w:val="24"/>
          <w:szCs w:val="24"/>
        </w:rPr>
        <w:t xml:space="preserve"> DetikFinanc</w:t>
      </w:r>
      <w:r w:rsidRPr="00160390">
        <w:rPr>
          <w:rFonts w:ascii="Times New Roman" w:hAnsi="Times New Roman" w:cs="Times New Roman"/>
          <w:i/>
          <w:iCs/>
          <w:noProof/>
          <w:sz w:val="24"/>
          <w:szCs w:val="24"/>
        </w:rPr>
        <w:t>e</w:t>
      </w:r>
      <w:r w:rsidRPr="00160390">
        <w:rPr>
          <w:rFonts w:ascii="Times New Roman" w:hAnsi="Times New Roman" w:cs="Times New Roman"/>
          <w:noProof/>
          <w:sz w:val="24"/>
          <w:szCs w:val="24"/>
        </w:rPr>
        <w:t xml:space="preserve">, Maret 21. Tersedia  di </w:t>
      </w:r>
      <w:hyperlink r:id="rId17" w:history="1">
        <w:r w:rsidR="00B40DCB" w:rsidRPr="000656C3">
          <w:rPr>
            <w:rStyle w:val="Hyperlink"/>
            <w:rFonts w:ascii="Times New Roman" w:hAnsi="Times New Roman"/>
            <w:noProof/>
            <w:sz w:val="24"/>
            <w:szCs w:val="24"/>
          </w:rPr>
          <w:t>https://finance.detik.com/berita-ekonomi-bisnis/d-3928433/jokowi-resmikan-portal-kebijakan-satu-peta-agustus-2018</w:t>
        </w:r>
      </w:hyperlink>
    </w:p>
    <w:p w14:paraId="62113A6C" w14:textId="5337D81A" w:rsidR="00B40DCB" w:rsidRPr="00B40DCB" w:rsidRDefault="00B40DCB" w:rsidP="00B40DCB">
      <w:pPr>
        <w:pStyle w:val="Bibliography"/>
        <w:spacing w:after="0" w:line="240" w:lineRule="auto"/>
        <w:ind w:left="720" w:hanging="720"/>
        <w:jc w:val="both"/>
        <w:rPr>
          <w:rFonts w:ascii="Times New Roman" w:hAnsi="Times New Roman" w:cs="Times New Roman"/>
          <w:noProof/>
          <w:sz w:val="24"/>
          <w:szCs w:val="24"/>
        </w:rPr>
      </w:pPr>
      <w:r w:rsidRPr="00160390">
        <w:rPr>
          <w:rFonts w:ascii="Times New Roman" w:hAnsi="Times New Roman" w:cs="Times New Roman"/>
          <w:noProof/>
          <w:sz w:val="24"/>
          <w:szCs w:val="24"/>
        </w:rPr>
        <w:t>Reis, Ronald A. 2009. “</w:t>
      </w:r>
      <w:r w:rsidRPr="00160390">
        <w:rPr>
          <w:rFonts w:ascii="Times New Roman" w:hAnsi="Times New Roman" w:cs="Times New Roman"/>
          <w:i/>
          <w:iCs/>
          <w:noProof/>
          <w:sz w:val="24"/>
          <w:szCs w:val="24"/>
        </w:rPr>
        <w:t>The World Trade Organization”.</w:t>
      </w:r>
      <w:r w:rsidRPr="00160390">
        <w:rPr>
          <w:rFonts w:ascii="Times New Roman" w:hAnsi="Times New Roman" w:cs="Times New Roman"/>
          <w:noProof/>
          <w:sz w:val="24"/>
          <w:szCs w:val="24"/>
        </w:rPr>
        <w:t xml:space="preserve"> New York: Chelsea House.</w:t>
      </w:r>
    </w:p>
    <w:p w14:paraId="7190E7D7" w14:textId="5CCC5FDE" w:rsidR="002A5D8F" w:rsidRDefault="002A5D8F" w:rsidP="002A5D8F">
      <w:pPr>
        <w:spacing w:after="0" w:line="240" w:lineRule="auto"/>
        <w:ind w:left="709" w:hanging="709"/>
        <w:jc w:val="both"/>
        <w:rPr>
          <w:rFonts w:ascii="Times New Roman" w:hAnsi="Times New Roman"/>
          <w:noProof/>
          <w:sz w:val="24"/>
          <w:szCs w:val="24"/>
        </w:rPr>
      </w:pPr>
      <w:r w:rsidRPr="00160390">
        <w:rPr>
          <w:rFonts w:ascii="Times New Roman" w:hAnsi="Times New Roman"/>
          <w:noProof/>
          <w:sz w:val="24"/>
          <w:szCs w:val="24"/>
        </w:rPr>
        <w:t>Saputra, D. 2021.</w:t>
      </w:r>
      <w:r w:rsidRPr="00160390">
        <w:rPr>
          <w:rFonts w:ascii="Times New Roman" w:hAnsi="Times New Roman"/>
          <w:i/>
          <w:iCs/>
          <w:noProof/>
          <w:sz w:val="24"/>
          <w:szCs w:val="24"/>
        </w:rPr>
        <w:t xml:space="preserve"> </w:t>
      </w:r>
      <w:r w:rsidRPr="00B40DCB">
        <w:rPr>
          <w:rFonts w:ascii="Times New Roman" w:hAnsi="Times New Roman"/>
          <w:noProof/>
          <w:sz w:val="24"/>
          <w:szCs w:val="24"/>
        </w:rPr>
        <w:t>"Menko Airlangga Tegaskan Kontribusi Sawit untuk PDB Indonesia Capai 3,5 Persen</w:t>
      </w:r>
      <w:r w:rsidRPr="00160390">
        <w:rPr>
          <w:rFonts w:ascii="Times New Roman" w:hAnsi="Times New Roman"/>
          <w:i/>
          <w:iCs/>
          <w:noProof/>
          <w:sz w:val="24"/>
          <w:szCs w:val="24"/>
        </w:rPr>
        <w:t>"</w:t>
      </w:r>
      <w:r w:rsidR="00B40DCB">
        <w:rPr>
          <w:rFonts w:ascii="Times New Roman" w:hAnsi="Times New Roman"/>
          <w:noProof/>
          <w:sz w:val="24"/>
          <w:szCs w:val="24"/>
          <w:lang w:val="en-US"/>
        </w:rPr>
        <w:t>, t</w:t>
      </w:r>
      <w:r w:rsidRPr="00160390">
        <w:rPr>
          <w:rFonts w:ascii="Times New Roman" w:hAnsi="Times New Roman"/>
          <w:noProof/>
          <w:sz w:val="24"/>
          <w:szCs w:val="24"/>
        </w:rPr>
        <w:t xml:space="preserve">ersedia di </w:t>
      </w:r>
      <w:hyperlink r:id="rId18" w:history="1">
        <w:r w:rsidR="00F01610" w:rsidRPr="004848B6">
          <w:rPr>
            <w:rStyle w:val="Hyperlink"/>
            <w:rFonts w:ascii="Times New Roman" w:hAnsi="Times New Roman"/>
            <w:noProof/>
            <w:sz w:val="24"/>
            <w:szCs w:val="24"/>
          </w:rPr>
          <w:t>https://ekonomi.bisnis.com/read/20211117/9/1467135/menko-airlangga-tegaskan-kontribusi-sawit-untuk-pdb-indonesia-capai-35-</w:t>
        </w:r>
      </w:hyperlink>
    </w:p>
    <w:p w14:paraId="31285405" w14:textId="2786B5A5" w:rsidR="00F01610" w:rsidRPr="00160390" w:rsidRDefault="00F01610" w:rsidP="002A5D8F">
      <w:pPr>
        <w:spacing w:after="0" w:line="240" w:lineRule="auto"/>
        <w:ind w:left="709" w:hanging="709"/>
        <w:jc w:val="both"/>
        <w:rPr>
          <w:rFonts w:ascii="Times New Roman" w:hAnsi="Times New Roman"/>
          <w:sz w:val="24"/>
          <w:szCs w:val="24"/>
        </w:rPr>
      </w:pPr>
      <w:r>
        <w:rPr>
          <w:rFonts w:ascii="Times New Roman" w:hAnsi="Times New Roman"/>
          <w:sz w:val="24"/>
          <w:szCs w:val="24"/>
        </w:rPr>
        <w:t>U.S. Climate Change Litigation. 2019. "DS-593: "</w:t>
      </w:r>
      <w:r w:rsidRPr="005D3FC1">
        <w:rPr>
          <w:rFonts w:ascii="Times New Roman" w:hAnsi="Times New Roman"/>
          <w:i/>
          <w:iCs/>
          <w:sz w:val="24"/>
          <w:szCs w:val="24"/>
        </w:rPr>
        <w:t>European Union Certain Measures concerning palm oil and oil palm crop based biofuels</w:t>
      </w:r>
      <w:r>
        <w:rPr>
          <w:rFonts w:ascii="Times New Roman" w:hAnsi="Times New Roman"/>
          <w:sz w:val="24"/>
          <w:szCs w:val="24"/>
        </w:rPr>
        <w:t xml:space="preserve">". Tersedia di </w:t>
      </w:r>
      <w:r w:rsidRPr="005D3FC1">
        <w:rPr>
          <w:rFonts w:ascii="Times New Roman" w:hAnsi="Times New Roman"/>
          <w:sz w:val="24"/>
          <w:szCs w:val="24"/>
        </w:rPr>
        <w:t>http://climatecasechart.com/non-us-case/ds-593-european-union-certain-measures-concerning-palm-oil-and-oil-palm-crop-based-biofuels</w:t>
      </w:r>
    </w:p>
    <w:p w14:paraId="03A82E91" w14:textId="56B5670A" w:rsidR="00B40DCB" w:rsidRPr="00B40DCB" w:rsidRDefault="00B40DCB" w:rsidP="00B40DCB">
      <w:pPr>
        <w:spacing w:after="0" w:line="240" w:lineRule="auto"/>
        <w:ind w:left="709" w:hanging="709"/>
        <w:jc w:val="both"/>
        <w:rPr>
          <w:rFonts w:ascii="Times New Roman" w:hAnsi="Times New Roman"/>
          <w:sz w:val="24"/>
          <w:szCs w:val="24"/>
          <w:lang w:val="en-US"/>
        </w:rPr>
      </w:pPr>
      <w:r w:rsidRPr="00160390">
        <w:rPr>
          <w:rFonts w:ascii="Times New Roman" w:hAnsi="Times New Roman"/>
          <w:sz w:val="24"/>
          <w:szCs w:val="24"/>
        </w:rPr>
        <w:t xml:space="preserve">World Trade Organization (WTO). </w:t>
      </w:r>
      <w:r w:rsidRPr="00B40DCB">
        <w:rPr>
          <w:rFonts w:ascii="Times New Roman" w:hAnsi="Times New Roman"/>
          <w:sz w:val="24"/>
          <w:szCs w:val="24"/>
        </w:rPr>
        <w:t>"Dispute Settlement Understanding"</w:t>
      </w:r>
      <w:r w:rsidRPr="00B40DCB">
        <w:rPr>
          <w:rFonts w:ascii="Times New Roman" w:hAnsi="Times New Roman"/>
          <w:sz w:val="24"/>
          <w:szCs w:val="24"/>
          <w:lang w:val="en-US"/>
        </w:rPr>
        <w:t>,</w:t>
      </w:r>
      <w:r>
        <w:rPr>
          <w:rFonts w:ascii="Times New Roman" w:hAnsi="Times New Roman"/>
          <w:sz w:val="24"/>
          <w:szCs w:val="24"/>
          <w:lang w:val="en-US"/>
        </w:rPr>
        <w:t xml:space="preserve"> t</w:t>
      </w:r>
      <w:r w:rsidRPr="00160390">
        <w:rPr>
          <w:rFonts w:ascii="Times New Roman" w:hAnsi="Times New Roman"/>
          <w:sz w:val="24"/>
          <w:szCs w:val="24"/>
        </w:rPr>
        <w:t>ersedia di https://www.wto.org/english/tratop_e/dispu_e/dsu_e.ht</w:t>
      </w:r>
      <w:r>
        <w:rPr>
          <w:rFonts w:ascii="Times New Roman" w:hAnsi="Times New Roman"/>
          <w:sz w:val="24"/>
          <w:szCs w:val="24"/>
          <w:lang w:val="en-US"/>
        </w:rPr>
        <w:t>m</w:t>
      </w:r>
    </w:p>
    <w:p w14:paraId="7CD335CC" w14:textId="77777777" w:rsidR="007138C6" w:rsidRPr="00D06DE9" w:rsidRDefault="00B40DCB" w:rsidP="00D06DE9">
      <w:pPr>
        <w:spacing w:line="240" w:lineRule="auto"/>
        <w:ind w:left="709" w:hanging="709"/>
        <w:jc w:val="both"/>
        <w:rPr>
          <w:rFonts w:ascii="Times New Roman" w:hAnsi="Times New Roman"/>
          <w:sz w:val="24"/>
          <w:szCs w:val="24"/>
          <w:lang w:val="en-US"/>
        </w:rPr>
      </w:pPr>
      <w:r w:rsidRPr="00160390">
        <w:rPr>
          <w:rFonts w:ascii="Times New Roman" w:hAnsi="Times New Roman"/>
          <w:sz w:val="24"/>
          <w:szCs w:val="24"/>
        </w:rPr>
        <w:t xml:space="preserve">World Trade Organization (WTO). 2019. </w:t>
      </w:r>
      <w:r w:rsidRPr="00B40DCB">
        <w:rPr>
          <w:rFonts w:ascii="Times New Roman" w:hAnsi="Times New Roman"/>
          <w:sz w:val="24"/>
          <w:szCs w:val="24"/>
        </w:rPr>
        <w:t>"European Union - Certain Measures Concerning Palm Oil and Palm Crop-Based Biofuels: Request for Consultations by Indonesia"</w:t>
      </w:r>
      <w:r w:rsidRPr="00B40DCB">
        <w:rPr>
          <w:rFonts w:ascii="Times New Roman" w:hAnsi="Times New Roman"/>
          <w:sz w:val="24"/>
          <w:szCs w:val="24"/>
          <w:lang w:val="en-US"/>
        </w:rPr>
        <w:t>, t</w:t>
      </w:r>
      <w:r w:rsidRPr="00B40DCB">
        <w:rPr>
          <w:rFonts w:ascii="Times New Roman" w:hAnsi="Times New Roman"/>
          <w:sz w:val="24"/>
          <w:szCs w:val="24"/>
        </w:rPr>
        <w:t xml:space="preserve">ersedia </w:t>
      </w:r>
      <w:r w:rsidRPr="00160390">
        <w:rPr>
          <w:rFonts w:ascii="Times New Roman" w:hAnsi="Times New Roman"/>
          <w:sz w:val="24"/>
          <w:szCs w:val="24"/>
        </w:rPr>
        <w:t>di http://climatecasechart.com/non-us-case/ds-593-european-union-certain-measures-concerning-palm-oil-and-oil-palm-crop-based-biofuels/</w:t>
      </w:r>
    </w:p>
    <w:sectPr w:rsidR="007138C6" w:rsidRPr="00D06DE9" w:rsidSect="00AD62D7">
      <w:pgSz w:w="11906" w:h="16838" w:code="9"/>
      <w:pgMar w:top="1701" w:right="1701" w:bottom="1701" w:left="1701" w:header="720" w:footer="720" w:gutter="0"/>
      <w:pgNumType w:start="8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68116" w14:textId="77777777" w:rsidR="00E274C0" w:rsidRDefault="00E274C0">
      <w:r>
        <w:separator/>
      </w:r>
    </w:p>
  </w:endnote>
  <w:endnote w:type="continuationSeparator" w:id="0">
    <w:p w14:paraId="2B32BB56" w14:textId="77777777" w:rsidR="00E274C0" w:rsidRDefault="00E2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6276641"/>
      <w:docPartObj>
        <w:docPartGallery w:val="Page Numbers (Bottom of Page)"/>
        <w:docPartUnique/>
      </w:docPartObj>
    </w:sdtPr>
    <w:sdtEndPr/>
    <w:sdtContent>
      <w:p w14:paraId="27360224" w14:textId="526989B7" w:rsidR="00A228A4" w:rsidRDefault="00AD62D7" w:rsidP="008E20BA">
        <w:pPr>
          <w:pStyle w:val="Footer"/>
          <w:ind w:right="360"/>
        </w:pPr>
        <w:r>
          <w:rPr>
            <w:noProof/>
          </w:rPr>
          <mc:AlternateContent>
            <mc:Choice Requires="wps">
              <w:drawing>
                <wp:anchor distT="0" distB="0" distL="114300" distR="114300" simplePos="0" relativeHeight="251666432" behindDoc="0" locked="0" layoutInCell="1" allowOverlap="1" wp14:anchorId="5DF81000" wp14:editId="485CA175">
                  <wp:simplePos x="0" y="0"/>
                  <wp:positionH relativeFrom="margin">
                    <wp:posOffset>2428609</wp:posOffset>
                  </wp:positionH>
                  <wp:positionV relativeFrom="bottomMargin">
                    <wp:posOffset>422925</wp:posOffset>
                  </wp:positionV>
                  <wp:extent cx="551815" cy="238760"/>
                  <wp:effectExtent l="19050" t="19050" r="12700" b="27940"/>
                  <wp:wrapNone/>
                  <wp:docPr id="8" name="Double Bracke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36AA605A" w14:textId="77777777" w:rsidR="00AD62D7" w:rsidRPr="00AD62D7" w:rsidRDefault="00AD62D7">
                              <w:pPr>
                                <w:jc w:val="center"/>
                                <w:rPr>
                                  <w:rFonts w:ascii="Candara" w:hAnsi="Candara"/>
                                  <w:sz w:val="20"/>
                                  <w:szCs w:val="20"/>
                                </w:rPr>
                              </w:pPr>
                              <w:r w:rsidRPr="00AD62D7">
                                <w:rPr>
                                  <w:rFonts w:ascii="Candara" w:hAnsi="Candara"/>
                                  <w:sz w:val="20"/>
                                  <w:szCs w:val="20"/>
                                </w:rPr>
                                <w:fldChar w:fldCharType="begin"/>
                              </w:r>
                              <w:r w:rsidRPr="00AD62D7">
                                <w:rPr>
                                  <w:rFonts w:ascii="Candara" w:hAnsi="Candara"/>
                                  <w:sz w:val="20"/>
                                  <w:szCs w:val="20"/>
                                </w:rPr>
                                <w:instrText xml:space="preserve"> PAGE    \* MERGEFORMAT </w:instrText>
                              </w:r>
                              <w:r w:rsidRPr="00AD62D7">
                                <w:rPr>
                                  <w:rFonts w:ascii="Candara" w:hAnsi="Candara"/>
                                  <w:sz w:val="20"/>
                                  <w:szCs w:val="20"/>
                                </w:rPr>
                                <w:fldChar w:fldCharType="separate"/>
                              </w:r>
                              <w:r w:rsidRPr="00AD62D7">
                                <w:rPr>
                                  <w:rFonts w:ascii="Candara" w:hAnsi="Candara"/>
                                  <w:noProof/>
                                  <w:sz w:val="20"/>
                                  <w:szCs w:val="20"/>
                                </w:rPr>
                                <w:t>2</w:t>
                              </w:r>
                              <w:r w:rsidRPr="00AD62D7">
                                <w:rPr>
                                  <w:rFonts w:ascii="Candara" w:hAnsi="Candara"/>
                                  <w:noProof/>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DF8100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margin-left:191.25pt;margin-top:33.3pt;width:43.45pt;height:18.8pt;z-index:251666432;visibility:visible;mso-wrap-style:square;mso-width-percent:100;mso-height-percent:0;mso-wrap-distance-left:9pt;mso-wrap-distance-top:0;mso-wrap-distance-right:9pt;mso-wrap-distance-bottom:0;mso-position-horizontal:absolute;mso-position-horizontal-relative:margin;mso-position-vertical:absolute;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" filled="t" strokecolor="gray" strokeweight="2.25pt">
                  <v:textbox inset=",0,,0">
                    <w:txbxContent>
                      <w:p w14:paraId="36AA605A" w14:textId="77777777" w:rsidR="00AD62D7" w:rsidRPr="00AD62D7" w:rsidRDefault="00AD62D7">
                        <w:pPr>
                          <w:jc w:val="center"/>
                          <w:rPr>
                            <w:rFonts w:ascii="Candara" w:hAnsi="Candara"/>
                            <w:sz w:val="20"/>
                            <w:szCs w:val="20"/>
                          </w:rPr>
                        </w:pPr>
                        <w:r w:rsidRPr="00AD62D7">
                          <w:rPr>
                            <w:rFonts w:ascii="Candara" w:hAnsi="Candara"/>
                            <w:sz w:val="20"/>
                            <w:szCs w:val="20"/>
                          </w:rPr>
                          <w:fldChar w:fldCharType="begin"/>
                        </w:r>
                        <w:r w:rsidRPr="00AD62D7">
                          <w:rPr>
                            <w:rFonts w:ascii="Candara" w:hAnsi="Candara"/>
                            <w:sz w:val="20"/>
                            <w:szCs w:val="20"/>
                          </w:rPr>
                          <w:instrText xml:space="preserve"> PAGE    \* MERGEFORMAT </w:instrText>
                        </w:r>
                        <w:r w:rsidRPr="00AD62D7">
                          <w:rPr>
                            <w:rFonts w:ascii="Candara" w:hAnsi="Candara"/>
                            <w:sz w:val="20"/>
                            <w:szCs w:val="20"/>
                          </w:rPr>
                          <w:fldChar w:fldCharType="separate"/>
                        </w:r>
                        <w:r w:rsidRPr="00AD62D7">
                          <w:rPr>
                            <w:rFonts w:ascii="Candara" w:hAnsi="Candara"/>
                            <w:noProof/>
                            <w:sz w:val="20"/>
                            <w:szCs w:val="20"/>
                          </w:rPr>
                          <w:t>2</w:t>
                        </w:r>
                        <w:r w:rsidRPr="00AD62D7">
                          <w:rPr>
                            <w:rFonts w:ascii="Candara" w:hAnsi="Candara"/>
                            <w:noProof/>
                            <w:sz w:val="20"/>
                            <w:szCs w:val="20"/>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5408" behindDoc="0" locked="0" layoutInCell="1" allowOverlap="1" wp14:anchorId="108AC4BE" wp14:editId="1E28C5B2">
                  <wp:simplePos x="0" y="0"/>
                  <wp:positionH relativeFrom="margin">
                    <wp:align>center</wp:align>
                  </wp:positionH>
                  <wp:positionV relativeFrom="bottomMargin">
                    <wp:align>center</wp:align>
                  </wp:positionV>
                  <wp:extent cx="5518150" cy="0"/>
                  <wp:effectExtent l="9525" t="9525" r="6350"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8DEDC02" id="_x0000_t32" coordsize="21600,21600" o:spt="32" o:oned="t" path="m,l21600,21600e" filled="f">
                  <v:path arrowok="t" fillok="f" o:connecttype="none"/>
                  <o:lock v:ext="edit" shapetype="t"/>
                </v:shapetype>
                <v:shape id="Straight Arrow Connector 7" o:spid="_x0000_s1026" type="#_x0000_t32" style="position:absolute;margin-left:0;margin-top:0;width:434.5pt;height:0;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" strokecolor="gray"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2191129"/>
      <w:docPartObj>
        <w:docPartGallery w:val="Page Numbers (Bottom of Page)"/>
        <w:docPartUnique/>
      </w:docPartObj>
    </w:sdtPr>
    <w:sdtEndPr/>
    <w:sdtContent>
      <w:p w14:paraId="4B7BF156" w14:textId="20431CBB" w:rsidR="00A228A4" w:rsidRDefault="00AD62D7">
        <w:pPr>
          <w:pStyle w:val="Footer"/>
        </w:pPr>
        <w:r w:rsidRPr="00AD62D7">
          <w:rPr>
            <w:rFonts w:ascii="Candara" w:hAnsi="Candara"/>
            <w:noProof/>
            <w:sz w:val="20"/>
            <w:szCs w:val="20"/>
            <w:lang w:val="en-US"/>
          </w:rPr>
          <mc:AlternateContent>
            <mc:Choice Requires="wps">
              <w:drawing>
                <wp:anchor distT="0" distB="0" distL="114300" distR="114300" simplePos="0" relativeHeight="251663360" behindDoc="0" locked="0" layoutInCell="1" allowOverlap="1" wp14:anchorId="4CAAE493" wp14:editId="6B528DA3">
                  <wp:simplePos x="0" y="0"/>
                  <wp:positionH relativeFrom="margin">
                    <wp:align>center</wp:align>
                  </wp:positionH>
                  <wp:positionV relativeFrom="bottomMargin">
                    <wp:align>center</wp:align>
                  </wp:positionV>
                  <wp:extent cx="551815" cy="238760"/>
                  <wp:effectExtent l="19050" t="19050" r="19685" b="18415"/>
                  <wp:wrapNone/>
                  <wp:docPr id="6" name="Double Bracke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BF6A537" w14:textId="77777777" w:rsidR="00AD62D7" w:rsidRPr="00AD62D7" w:rsidRDefault="00AD62D7">
                              <w:pPr>
                                <w:jc w:val="center"/>
                                <w:rPr>
                                  <w:rFonts w:ascii="Candara" w:hAnsi="Candara"/>
                                  <w:sz w:val="20"/>
                                  <w:szCs w:val="20"/>
                                  <w:lang w:val="en-US"/>
                                </w:rPr>
                              </w:pPr>
                              <w:r w:rsidRPr="00AD62D7">
                                <w:rPr>
                                  <w:rFonts w:ascii="Candara" w:hAnsi="Candara"/>
                                  <w:sz w:val="20"/>
                                  <w:szCs w:val="20"/>
                                </w:rPr>
                                <w:fldChar w:fldCharType="begin"/>
                              </w:r>
                              <w:r w:rsidRPr="00AD62D7">
                                <w:rPr>
                                  <w:rFonts w:ascii="Candara" w:hAnsi="Candara"/>
                                  <w:sz w:val="20"/>
                                  <w:szCs w:val="20"/>
                                </w:rPr>
                                <w:instrText xml:space="preserve"> PAGE    \* MERGEFORMAT </w:instrText>
                              </w:r>
                              <w:r w:rsidRPr="00AD62D7">
                                <w:rPr>
                                  <w:rFonts w:ascii="Candara" w:hAnsi="Candara"/>
                                  <w:sz w:val="20"/>
                                  <w:szCs w:val="20"/>
                                </w:rPr>
                                <w:fldChar w:fldCharType="separate"/>
                              </w:r>
                              <w:r w:rsidRPr="00AD62D7">
                                <w:rPr>
                                  <w:rFonts w:ascii="Candara" w:hAnsi="Candara"/>
                                  <w:noProof/>
                                  <w:sz w:val="20"/>
                                  <w:szCs w:val="20"/>
                                </w:rPr>
                                <w:t>2</w:t>
                              </w:r>
                              <w:r w:rsidRPr="00AD62D7">
                                <w:rPr>
                                  <w:rFonts w:ascii="Candara" w:hAnsi="Candara"/>
                                  <w:noProof/>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CAAE49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6" o:spid="_x0000_s1027" type="#_x0000_t185" style="position:absolute;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" filled="t" strokecolor="gray" strokeweight="2.25pt">
                  <v:textbox inset=",0,,0">
                    <w:txbxContent>
                      <w:p w14:paraId="1BF6A537" w14:textId="77777777" w:rsidR="00AD62D7" w:rsidRPr="00AD62D7" w:rsidRDefault="00AD62D7">
                        <w:pPr>
                          <w:jc w:val="center"/>
                          <w:rPr>
                            <w:rFonts w:ascii="Candara" w:hAnsi="Candara"/>
                            <w:sz w:val="20"/>
                            <w:szCs w:val="20"/>
                            <w:lang w:val="en-US"/>
                          </w:rPr>
                        </w:pPr>
                        <w:r w:rsidRPr="00AD62D7">
                          <w:rPr>
                            <w:rFonts w:ascii="Candara" w:hAnsi="Candara"/>
                            <w:sz w:val="20"/>
                            <w:szCs w:val="20"/>
                          </w:rPr>
                          <w:fldChar w:fldCharType="begin"/>
                        </w:r>
                        <w:r w:rsidRPr="00AD62D7">
                          <w:rPr>
                            <w:rFonts w:ascii="Candara" w:hAnsi="Candara"/>
                            <w:sz w:val="20"/>
                            <w:szCs w:val="20"/>
                          </w:rPr>
                          <w:instrText xml:space="preserve"> PAGE    \* MERGEFORMAT </w:instrText>
                        </w:r>
                        <w:r w:rsidRPr="00AD62D7">
                          <w:rPr>
                            <w:rFonts w:ascii="Candara" w:hAnsi="Candara"/>
                            <w:sz w:val="20"/>
                            <w:szCs w:val="20"/>
                          </w:rPr>
                          <w:fldChar w:fldCharType="separate"/>
                        </w:r>
                        <w:r w:rsidRPr="00AD62D7">
                          <w:rPr>
                            <w:rFonts w:ascii="Candara" w:hAnsi="Candara"/>
                            <w:noProof/>
                            <w:sz w:val="20"/>
                            <w:szCs w:val="20"/>
                          </w:rPr>
                          <w:t>2</w:t>
                        </w:r>
                        <w:r w:rsidRPr="00AD62D7">
                          <w:rPr>
                            <w:rFonts w:ascii="Candara" w:hAnsi="Candara"/>
                            <w:noProof/>
                            <w:sz w:val="20"/>
                            <w:szCs w:val="20"/>
                          </w:rPr>
                          <w:fldChar w:fldCharType="end"/>
                        </w:r>
                      </w:p>
                    </w:txbxContent>
                  </v:textbox>
                  <w10:wrap anchorx="margin" anchory="margin"/>
                </v:shape>
              </w:pict>
            </mc:Fallback>
          </mc:AlternateContent>
        </w:r>
        <w:r w:rsidRPr="00AD62D7">
          <w:rPr>
            <w:rFonts w:ascii="Candara" w:hAnsi="Candara"/>
            <w:noProof/>
            <w:sz w:val="20"/>
            <w:szCs w:val="20"/>
            <w:lang w:val="en-US"/>
          </w:rPr>
          <mc:AlternateContent>
            <mc:Choice Requires="wps">
              <w:drawing>
                <wp:anchor distT="0" distB="0" distL="114300" distR="114300" simplePos="0" relativeHeight="251662336" behindDoc="0" locked="0" layoutInCell="1" allowOverlap="1" wp14:anchorId="530FB098" wp14:editId="4DCD91B9">
                  <wp:simplePos x="0" y="0"/>
                  <wp:positionH relativeFrom="margin">
                    <wp:align>center</wp:align>
                  </wp:positionH>
                  <wp:positionV relativeFrom="bottomMargin">
                    <wp:align>center</wp:align>
                  </wp:positionV>
                  <wp:extent cx="5518150" cy="0"/>
                  <wp:effectExtent l="9525" t="9525" r="6350"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49902D7" id="_x0000_t32" coordsize="21600,21600" o:spt="32" o:oned="t" path="m,l21600,21600e" filled="f">
                  <v:path arrowok="t" fillok="f" o:connecttype="none"/>
                  <o:lock v:ext="edit" shapetype="t"/>
                </v:shapetype>
                <v:shape id="Straight Arrow Connector 5"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83F0F" w14:textId="77777777" w:rsidR="00E274C0" w:rsidRDefault="00E274C0">
      <w:r>
        <w:separator/>
      </w:r>
    </w:p>
  </w:footnote>
  <w:footnote w:type="continuationSeparator" w:id="0">
    <w:p w14:paraId="336D1840" w14:textId="77777777" w:rsidR="00E274C0" w:rsidRDefault="00E274C0">
      <w:r>
        <w:continuationSeparator/>
      </w:r>
    </w:p>
  </w:footnote>
  <w:footnote w:id="1">
    <w:p w14:paraId="0A59D480" w14:textId="6AF9FB8D" w:rsidR="00AB02B3" w:rsidRPr="00AB02B3" w:rsidRDefault="00AB02B3">
      <w:pPr>
        <w:pStyle w:val="FootnoteText"/>
      </w:pPr>
      <w:r w:rsidRPr="00AB02B3">
        <w:rPr>
          <w:rStyle w:val="FootnoteReference"/>
        </w:rPr>
        <w:footnoteRef/>
      </w:r>
      <w:r w:rsidRPr="00AB02B3">
        <w:t xml:space="preserve"> </w:t>
      </w:r>
      <w:r w:rsidRPr="00073553">
        <w:t>Mahasiswa Program S1 Hubungan Internasional, Fakultas Ilmu Sosial dan Ilmu Politik, Universitas Mulawarman. E-mail :</w:t>
      </w:r>
      <w:r>
        <w:t xml:space="preserve"> </w:t>
      </w:r>
      <w:r w:rsidR="00D33D2D">
        <w:t>novamedinda3</w:t>
      </w:r>
      <w:r>
        <w:t>@gmail.com.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F574A" w14:textId="130698EB" w:rsidR="00EE4A6C" w:rsidRPr="00C36767" w:rsidRDefault="005F445F" w:rsidP="00EE4A6C">
    <w:pPr>
      <w:pStyle w:val="ListParagraph"/>
      <w:spacing w:after="0" w:line="240" w:lineRule="auto"/>
      <w:ind w:left="0"/>
      <w:jc w:val="both"/>
      <w:rPr>
        <w:rFonts w:ascii="Times New Roman" w:hAnsi="Times New Roman"/>
        <w:b/>
        <w:bCs/>
        <w:sz w:val="18"/>
        <w:szCs w:val="18"/>
        <w:lang w:val="en-US"/>
      </w:rPr>
    </w:pPr>
    <w:r>
      <w:rPr>
        <w:rFonts w:ascii="Times New Roman" w:hAnsi="Times New Roman"/>
        <w:b/>
        <w:i/>
        <w:sz w:val="18"/>
        <w:szCs w:val="18"/>
        <w:lang w:val="en-US"/>
      </w:rPr>
      <w:t>N</w:t>
    </w:r>
    <w:r w:rsidR="001462BB">
      <w:rPr>
        <w:rFonts w:ascii="Times New Roman" w:hAnsi="Times New Roman"/>
        <w:b/>
        <w:i/>
        <w:sz w:val="18"/>
        <w:szCs w:val="18"/>
        <w:lang w:val="en-US"/>
      </w:rPr>
      <w:t>ova Medinda</w:t>
    </w:r>
  </w:p>
  <w:p w14:paraId="09146729" w14:textId="58A6DE04" w:rsidR="00A228A4" w:rsidRPr="00C36767" w:rsidRDefault="00900B4C" w:rsidP="00A228A4">
    <w:pPr>
      <w:pStyle w:val="Header"/>
      <w:rPr>
        <w:rFonts w:ascii="Times New Roman" w:hAnsi="Times New Roman"/>
        <w:lang w:val="en-US"/>
      </w:rPr>
    </w:pPr>
    <w:r w:rsidRPr="00C36767">
      <w:rPr>
        <w:rFonts w:ascii="Times New Roman" w:hAnsi="Times New Roman"/>
        <w:noProof/>
      </w:rPr>
      <mc:AlternateContent>
        <mc:Choice Requires="wps">
          <w:drawing>
            <wp:anchor distT="4294967295" distB="4294967295" distL="114300" distR="114300" simplePos="0" relativeHeight="251658240" behindDoc="0" locked="0" layoutInCell="1" allowOverlap="1" wp14:anchorId="7BB81335" wp14:editId="6A4AF506">
              <wp:simplePos x="0" y="0"/>
              <wp:positionH relativeFrom="column">
                <wp:posOffset>-10795</wp:posOffset>
              </wp:positionH>
              <wp:positionV relativeFrom="paragraph">
                <wp:posOffset>33654</wp:posOffset>
              </wp:positionV>
              <wp:extent cx="5419090"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E19564"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&#1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AFB7C" w14:textId="5D73D5D2" w:rsidR="00EE4A6C" w:rsidRPr="00997E9D" w:rsidRDefault="00A510E9" w:rsidP="00997E9D">
    <w:pPr>
      <w:pStyle w:val="Header"/>
      <w:tabs>
        <w:tab w:val="clear" w:pos="4513"/>
      </w:tabs>
      <w:jc w:val="both"/>
      <w:rPr>
        <w:rFonts w:ascii="Times New Roman" w:hAnsi="Times New Roman"/>
        <w:b/>
        <w:i/>
        <w:sz w:val="18"/>
        <w:szCs w:val="18"/>
        <w:lang w:val="en-US"/>
      </w:rPr>
    </w:pPr>
    <w:r w:rsidRPr="00A510E9">
      <w:rPr>
        <w:rFonts w:ascii="Times New Roman" w:hAnsi="Times New Roman"/>
        <w:b/>
        <w:i/>
        <w:sz w:val="16"/>
        <w:szCs w:val="16"/>
      </w:rPr>
      <w:t>eJournal Ilmu Hubungan Internasional</w:t>
    </w:r>
    <w:r w:rsidR="00EE4A6C" w:rsidRPr="00A510E9">
      <w:rPr>
        <w:rFonts w:ascii="Times New Roman" w:hAnsi="Times New Roman"/>
        <w:b/>
        <w:i/>
        <w:sz w:val="18"/>
        <w:szCs w:val="18"/>
      </w:rPr>
      <w:t>, Vol.</w:t>
    </w:r>
    <w:r w:rsidR="001462BB">
      <w:rPr>
        <w:rFonts w:ascii="Times New Roman" w:hAnsi="Times New Roman"/>
        <w:b/>
        <w:i/>
        <w:sz w:val="18"/>
        <w:szCs w:val="18"/>
        <w:lang w:val="en-US"/>
      </w:rPr>
      <w:t>11</w:t>
    </w:r>
    <w:r w:rsidR="00EE4A6C" w:rsidRPr="00A510E9">
      <w:rPr>
        <w:rFonts w:ascii="Times New Roman" w:hAnsi="Times New Roman"/>
        <w:b/>
        <w:i/>
        <w:sz w:val="18"/>
        <w:szCs w:val="18"/>
      </w:rPr>
      <w:t xml:space="preserve"> No.</w:t>
    </w:r>
    <w:r w:rsidR="001462BB">
      <w:rPr>
        <w:rFonts w:ascii="Times New Roman" w:hAnsi="Times New Roman"/>
        <w:b/>
        <w:i/>
        <w:sz w:val="18"/>
        <w:szCs w:val="18"/>
        <w:lang w:val="en-US"/>
      </w:rPr>
      <w:t>1</w:t>
    </w:r>
    <w:r w:rsidR="00AD199C">
      <w:rPr>
        <w:rFonts w:ascii="Times New Roman" w:hAnsi="Times New Roman"/>
        <w:b/>
        <w:i/>
        <w:sz w:val="18"/>
        <w:szCs w:val="18"/>
        <w:lang w:val="en-US"/>
      </w:rPr>
      <w:t>, (</w:t>
    </w:r>
    <w:r w:rsidR="001462BB">
      <w:rPr>
        <w:rFonts w:ascii="Times New Roman" w:hAnsi="Times New Roman"/>
        <w:b/>
        <w:i/>
        <w:sz w:val="18"/>
        <w:szCs w:val="18"/>
        <w:lang w:val="en-US"/>
      </w:rPr>
      <w:t>2023</w:t>
    </w:r>
    <w:r w:rsidR="00AD199C">
      <w:rPr>
        <w:rFonts w:ascii="Times New Roman" w:hAnsi="Times New Roman"/>
        <w:b/>
        <w:i/>
        <w:sz w:val="18"/>
        <w:szCs w:val="18"/>
        <w:lang w:val="en-US"/>
      </w:rPr>
      <w:t>)</w:t>
    </w:r>
    <w:r w:rsidR="007002FA" w:rsidRPr="00A510E9">
      <w:rPr>
        <w:rFonts w:ascii="Times New Roman" w:hAnsi="Times New Roman"/>
        <w:b/>
        <w:i/>
        <w:sz w:val="18"/>
        <w:szCs w:val="18"/>
        <w:lang w:val="en-US"/>
      </w:rPr>
      <w:t xml:space="preserve"> </w:t>
    </w:r>
    <w:r w:rsidR="00EE4A6C" w:rsidRPr="00A510E9">
      <w:rPr>
        <w:rFonts w:ascii="Times New Roman" w:hAnsi="Times New Roman"/>
        <w:b/>
        <w:i/>
        <w:sz w:val="18"/>
        <w:szCs w:val="18"/>
      </w:rPr>
      <w:t xml:space="preserve">   </w:t>
    </w:r>
    <w:r w:rsidR="0047693C" w:rsidRPr="00A510E9">
      <w:rPr>
        <w:rFonts w:ascii="Times New Roman" w:hAnsi="Times New Roman"/>
        <w:b/>
        <w:i/>
        <w:sz w:val="18"/>
        <w:szCs w:val="18"/>
      </w:rPr>
      <w:t xml:space="preserve">  </w:t>
    </w:r>
    <w:r w:rsidR="00EE4A6C" w:rsidRPr="00A510E9">
      <w:rPr>
        <w:rFonts w:ascii="Times New Roman" w:hAnsi="Times New Roman"/>
        <w:b/>
        <w:i/>
        <w:sz w:val="18"/>
        <w:szCs w:val="18"/>
      </w:rPr>
      <w:t xml:space="preserve">                     </w:t>
    </w:r>
    <w:r>
      <w:rPr>
        <w:rFonts w:ascii="Times New Roman" w:hAnsi="Times New Roman"/>
        <w:b/>
        <w:i/>
        <w:sz w:val="18"/>
        <w:szCs w:val="18"/>
      </w:rPr>
      <w:t xml:space="preserve">                            </w:t>
    </w:r>
    <w:r w:rsidR="00997E9D">
      <w:rPr>
        <w:rFonts w:ascii="Times New Roman" w:hAnsi="Times New Roman"/>
        <w:b/>
        <w:i/>
        <w:sz w:val="18"/>
        <w:szCs w:val="18"/>
      </w:rPr>
      <w:t>ISSN: 2</w:t>
    </w:r>
    <w:r w:rsidR="00997E9D">
      <w:rPr>
        <w:rFonts w:ascii="Times New Roman" w:hAnsi="Times New Roman"/>
        <w:b/>
        <w:i/>
        <w:sz w:val="18"/>
        <w:szCs w:val="18"/>
        <w:lang w:val="en-US"/>
      </w:rPr>
      <w:t>477</w:t>
    </w:r>
    <w:r w:rsidR="00997E9D">
      <w:rPr>
        <w:rFonts w:ascii="Times New Roman" w:hAnsi="Times New Roman"/>
        <w:b/>
        <w:i/>
        <w:sz w:val="18"/>
        <w:szCs w:val="18"/>
      </w:rPr>
      <w:t>-</w:t>
    </w:r>
    <w:r w:rsidR="00997E9D">
      <w:rPr>
        <w:rFonts w:ascii="Times New Roman" w:hAnsi="Times New Roman"/>
        <w:b/>
        <w:i/>
        <w:sz w:val="18"/>
        <w:szCs w:val="18"/>
        <w:lang w:val="en-US"/>
      </w:rPr>
      <w:t>2623</w:t>
    </w:r>
  </w:p>
  <w:p w14:paraId="1CBE9B57" w14:textId="77777777" w:rsidR="00EE4A6C" w:rsidRPr="00A510E9" w:rsidRDefault="00EE4A6C" w:rsidP="00275377">
    <w:pPr>
      <w:pStyle w:val="ListParagraph"/>
      <w:spacing w:after="0" w:line="240" w:lineRule="auto"/>
      <w:ind w:left="0"/>
      <w:jc w:val="both"/>
      <w:rPr>
        <w:rFonts w:ascii="Times New Roman" w:hAnsi="Times New Roman"/>
        <w:b/>
        <w:bCs/>
        <w:sz w:val="18"/>
        <w:szCs w:val="18"/>
        <w:lang w:val="en-US"/>
      </w:rPr>
    </w:pPr>
  </w:p>
  <w:p w14:paraId="575A2388" w14:textId="2081C4A7" w:rsidR="00A228A4" w:rsidRPr="00A510E9" w:rsidRDefault="00900B4C">
    <w:pPr>
      <w:pStyle w:val="Header"/>
      <w:rPr>
        <w:rFonts w:ascii="Times New Roman" w:hAnsi="Times New Roman"/>
      </w:rPr>
    </w:pPr>
    <w:r w:rsidRPr="00A510E9">
      <w:rPr>
        <w:rFonts w:ascii="Times New Roman" w:hAnsi="Times New Roman"/>
        <w:noProof/>
      </w:rPr>
      <mc:AlternateContent>
        <mc:Choice Requires="wps">
          <w:drawing>
            <wp:anchor distT="4294967295" distB="4294967295" distL="114300" distR="114300" simplePos="0" relativeHeight="251657216" behindDoc="0" locked="0" layoutInCell="1" allowOverlap="1" wp14:anchorId="5FC5CC17" wp14:editId="7DEC36E3">
              <wp:simplePos x="0" y="0"/>
              <wp:positionH relativeFrom="column">
                <wp:posOffset>-10795</wp:posOffset>
              </wp:positionH>
              <wp:positionV relativeFrom="paragraph">
                <wp:posOffset>33654</wp:posOffset>
              </wp:positionV>
              <wp:extent cx="5419090"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F97DCE"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A3AE6"/>
    <w:multiLevelType w:val="hybridMultilevel"/>
    <w:tmpl w:val="C1321854"/>
    <w:lvl w:ilvl="0" w:tplc="450C2E3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07A3E75"/>
    <w:multiLevelType w:val="hybridMultilevel"/>
    <w:tmpl w:val="4B903208"/>
    <w:lvl w:ilvl="0" w:tplc="371ECD2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15:restartNumberingAfterBreak="0">
    <w:nsid w:val="25863C34"/>
    <w:multiLevelType w:val="hybridMultilevel"/>
    <w:tmpl w:val="6BC25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35C56"/>
    <w:multiLevelType w:val="hybridMultilevel"/>
    <w:tmpl w:val="1BA25E0A"/>
    <w:lvl w:ilvl="0" w:tplc="56D2161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40525341"/>
    <w:multiLevelType w:val="hybridMultilevel"/>
    <w:tmpl w:val="0212D706"/>
    <w:lvl w:ilvl="0" w:tplc="DC125C8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15:restartNumberingAfterBreak="0">
    <w:nsid w:val="5CF8638E"/>
    <w:multiLevelType w:val="hybridMultilevel"/>
    <w:tmpl w:val="35FED074"/>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0"/>
  </w:num>
  <w:num w:numId="2">
    <w:abstractNumId w:val="4"/>
  </w:num>
  <w:num w:numId="3">
    <w:abstractNumId w:val="3"/>
  </w:num>
  <w:num w:numId="4">
    <w:abstractNumId w:val="5"/>
  </w:num>
  <w:num w:numId="5">
    <w:abstractNumId w:val="2"/>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6"/>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9E3"/>
    <w:rsid w:val="00002920"/>
    <w:rsid w:val="00003E7E"/>
    <w:rsid w:val="000041D4"/>
    <w:rsid w:val="00005328"/>
    <w:rsid w:val="00017249"/>
    <w:rsid w:val="00017C3E"/>
    <w:rsid w:val="00020E10"/>
    <w:rsid w:val="00021EBF"/>
    <w:rsid w:val="0002337C"/>
    <w:rsid w:val="0002476E"/>
    <w:rsid w:val="00034857"/>
    <w:rsid w:val="00044851"/>
    <w:rsid w:val="00045A39"/>
    <w:rsid w:val="000512E9"/>
    <w:rsid w:val="00057A41"/>
    <w:rsid w:val="00060F8B"/>
    <w:rsid w:val="00062525"/>
    <w:rsid w:val="00066221"/>
    <w:rsid w:val="00066451"/>
    <w:rsid w:val="00067644"/>
    <w:rsid w:val="00067AC5"/>
    <w:rsid w:val="00072138"/>
    <w:rsid w:val="0007294E"/>
    <w:rsid w:val="00072F93"/>
    <w:rsid w:val="0007397E"/>
    <w:rsid w:val="0007508D"/>
    <w:rsid w:val="00076770"/>
    <w:rsid w:val="0007686D"/>
    <w:rsid w:val="00080E3B"/>
    <w:rsid w:val="000833C9"/>
    <w:rsid w:val="00085762"/>
    <w:rsid w:val="00085B18"/>
    <w:rsid w:val="00090000"/>
    <w:rsid w:val="00093A9B"/>
    <w:rsid w:val="00096FF8"/>
    <w:rsid w:val="000A047B"/>
    <w:rsid w:val="000A2453"/>
    <w:rsid w:val="000A4653"/>
    <w:rsid w:val="000A48BD"/>
    <w:rsid w:val="000A49DB"/>
    <w:rsid w:val="000A59BB"/>
    <w:rsid w:val="000A6EF1"/>
    <w:rsid w:val="000B1C65"/>
    <w:rsid w:val="000B1C9C"/>
    <w:rsid w:val="000B4711"/>
    <w:rsid w:val="000B4F95"/>
    <w:rsid w:val="000B54BD"/>
    <w:rsid w:val="000B6109"/>
    <w:rsid w:val="000B777A"/>
    <w:rsid w:val="000C0963"/>
    <w:rsid w:val="000C21AB"/>
    <w:rsid w:val="000C2386"/>
    <w:rsid w:val="000C24C8"/>
    <w:rsid w:val="000C4519"/>
    <w:rsid w:val="000C4527"/>
    <w:rsid w:val="000D08B6"/>
    <w:rsid w:val="000E00C2"/>
    <w:rsid w:val="000E4FC0"/>
    <w:rsid w:val="000E5CCD"/>
    <w:rsid w:val="000F3107"/>
    <w:rsid w:val="001001B4"/>
    <w:rsid w:val="00100C31"/>
    <w:rsid w:val="001053F1"/>
    <w:rsid w:val="00110CE9"/>
    <w:rsid w:val="00113114"/>
    <w:rsid w:val="00120CC8"/>
    <w:rsid w:val="0012459D"/>
    <w:rsid w:val="00124779"/>
    <w:rsid w:val="0012550B"/>
    <w:rsid w:val="00126FEA"/>
    <w:rsid w:val="00131CCE"/>
    <w:rsid w:val="0013425A"/>
    <w:rsid w:val="00135289"/>
    <w:rsid w:val="00136061"/>
    <w:rsid w:val="0013647B"/>
    <w:rsid w:val="00136874"/>
    <w:rsid w:val="00141186"/>
    <w:rsid w:val="00141B0B"/>
    <w:rsid w:val="001451AF"/>
    <w:rsid w:val="001462BB"/>
    <w:rsid w:val="001463F5"/>
    <w:rsid w:val="00147A29"/>
    <w:rsid w:val="00152B23"/>
    <w:rsid w:val="00156EF3"/>
    <w:rsid w:val="0016012F"/>
    <w:rsid w:val="00162B5B"/>
    <w:rsid w:val="00171017"/>
    <w:rsid w:val="0017194A"/>
    <w:rsid w:val="00174261"/>
    <w:rsid w:val="00175639"/>
    <w:rsid w:val="001804DA"/>
    <w:rsid w:val="00184C95"/>
    <w:rsid w:val="00185EF3"/>
    <w:rsid w:val="00195DEA"/>
    <w:rsid w:val="0019613F"/>
    <w:rsid w:val="001963F4"/>
    <w:rsid w:val="001975B1"/>
    <w:rsid w:val="001A3DEB"/>
    <w:rsid w:val="001A5F42"/>
    <w:rsid w:val="001A61D5"/>
    <w:rsid w:val="001A77D7"/>
    <w:rsid w:val="001B28D8"/>
    <w:rsid w:val="001B2F43"/>
    <w:rsid w:val="001B5252"/>
    <w:rsid w:val="001B6941"/>
    <w:rsid w:val="001B6D7D"/>
    <w:rsid w:val="001C16FC"/>
    <w:rsid w:val="001C3A8A"/>
    <w:rsid w:val="001D07B8"/>
    <w:rsid w:val="001D22EB"/>
    <w:rsid w:val="001D3E9F"/>
    <w:rsid w:val="001D7D30"/>
    <w:rsid w:val="001E0796"/>
    <w:rsid w:val="001E12E6"/>
    <w:rsid w:val="001F22E7"/>
    <w:rsid w:val="001F24B3"/>
    <w:rsid w:val="001F2AE1"/>
    <w:rsid w:val="001F2F0C"/>
    <w:rsid w:val="001F3C76"/>
    <w:rsid w:val="001F4B38"/>
    <w:rsid w:val="002025CC"/>
    <w:rsid w:val="00205A9F"/>
    <w:rsid w:val="00210DED"/>
    <w:rsid w:val="002166A7"/>
    <w:rsid w:val="00216EA6"/>
    <w:rsid w:val="00223E0D"/>
    <w:rsid w:val="0022562B"/>
    <w:rsid w:val="00230F3B"/>
    <w:rsid w:val="0023257D"/>
    <w:rsid w:val="00240901"/>
    <w:rsid w:val="002424A8"/>
    <w:rsid w:val="0024493F"/>
    <w:rsid w:val="00245649"/>
    <w:rsid w:val="00245651"/>
    <w:rsid w:val="002512C1"/>
    <w:rsid w:val="002551DA"/>
    <w:rsid w:val="002576C0"/>
    <w:rsid w:val="00260B69"/>
    <w:rsid w:val="002615EC"/>
    <w:rsid w:val="002616F4"/>
    <w:rsid w:val="002647AD"/>
    <w:rsid w:val="00267E92"/>
    <w:rsid w:val="00270249"/>
    <w:rsid w:val="002722C9"/>
    <w:rsid w:val="00275377"/>
    <w:rsid w:val="00276E7B"/>
    <w:rsid w:val="00283E71"/>
    <w:rsid w:val="0028627C"/>
    <w:rsid w:val="002953A8"/>
    <w:rsid w:val="002A0677"/>
    <w:rsid w:val="002A1567"/>
    <w:rsid w:val="002A3915"/>
    <w:rsid w:val="002A51AB"/>
    <w:rsid w:val="002A5D8F"/>
    <w:rsid w:val="002A7091"/>
    <w:rsid w:val="002B5990"/>
    <w:rsid w:val="002B6636"/>
    <w:rsid w:val="002B7D6F"/>
    <w:rsid w:val="002C092C"/>
    <w:rsid w:val="002C3838"/>
    <w:rsid w:val="002C6011"/>
    <w:rsid w:val="002C733E"/>
    <w:rsid w:val="002D3207"/>
    <w:rsid w:val="002D51EB"/>
    <w:rsid w:val="002D5238"/>
    <w:rsid w:val="002D5B77"/>
    <w:rsid w:val="002D7483"/>
    <w:rsid w:val="002E4505"/>
    <w:rsid w:val="002E570C"/>
    <w:rsid w:val="002E5D32"/>
    <w:rsid w:val="002F4A2A"/>
    <w:rsid w:val="002F4E65"/>
    <w:rsid w:val="003003BB"/>
    <w:rsid w:val="003024E3"/>
    <w:rsid w:val="00302705"/>
    <w:rsid w:val="003057FF"/>
    <w:rsid w:val="00306272"/>
    <w:rsid w:val="00307AA6"/>
    <w:rsid w:val="00314736"/>
    <w:rsid w:val="00317081"/>
    <w:rsid w:val="00332162"/>
    <w:rsid w:val="00332899"/>
    <w:rsid w:val="0033388F"/>
    <w:rsid w:val="0033404E"/>
    <w:rsid w:val="00337899"/>
    <w:rsid w:val="00342F60"/>
    <w:rsid w:val="003448DD"/>
    <w:rsid w:val="00347A62"/>
    <w:rsid w:val="00347CA8"/>
    <w:rsid w:val="0035034C"/>
    <w:rsid w:val="00352C90"/>
    <w:rsid w:val="00361E81"/>
    <w:rsid w:val="003654B8"/>
    <w:rsid w:val="003718D4"/>
    <w:rsid w:val="00373D18"/>
    <w:rsid w:val="00376BC4"/>
    <w:rsid w:val="00377C3D"/>
    <w:rsid w:val="00380988"/>
    <w:rsid w:val="00381059"/>
    <w:rsid w:val="00381915"/>
    <w:rsid w:val="00383078"/>
    <w:rsid w:val="00387902"/>
    <w:rsid w:val="00390C1D"/>
    <w:rsid w:val="00392272"/>
    <w:rsid w:val="00395021"/>
    <w:rsid w:val="003963A9"/>
    <w:rsid w:val="003978EF"/>
    <w:rsid w:val="003A06EB"/>
    <w:rsid w:val="003A098A"/>
    <w:rsid w:val="003A1872"/>
    <w:rsid w:val="003A6BA0"/>
    <w:rsid w:val="003B24E8"/>
    <w:rsid w:val="003B6EDA"/>
    <w:rsid w:val="003C39BD"/>
    <w:rsid w:val="003C402F"/>
    <w:rsid w:val="003C67CB"/>
    <w:rsid w:val="003D1470"/>
    <w:rsid w:val="003D1B4B"/>
    <w:rsid w:val="003D5FDE"/>
    <w:rsid w:val="003E06EE"/>
    <w:rsid w:val="003E19EE"/>
    <w:rsid w:val="003E5B42"/>
    <w:rsid w:val="003F0643"/>
    <w:rsid w:val="003F09BF"/>
    <w:rsid w:val="00400CE8"/>
    <w:rsid w:val="00401F51"/>
    <w:rsid w:val="00405FF2"/>
    <w:rsid w:val="004146FE"/>
    <w:rsid w:val="00415066"/>
    <w:rsid w:val="00416C7B"/>
    <w:rsid w:val="00424600"/>
    <w:rsid w:val="00424F4E"/>
    <w:rsid w:val="00430E82"/>
    <w:rsid w:val="00437056"/>
    <w:rsid w:val="0044122E"/>
    <w:rsid w:val="00442883"/>
    <w:rsid w:val="00443E0A"/>
    <w:rsid w:val="004558D2"/>
    <w:rsid w:val="00460C2E"/>
    <w:rsid w:val="00461A70"/>
    <w:rsid w:val="00463065"/>
    <w:rsid w:val="0046365D"/>
    <w:rsid w:val="00463BCB"/>
    <w:rsid w:val="00463E5E"/>
    <w:rsid w:val="00464FE0"/>
    <w:rsid w:val="0046528F"/>
    <w:rsid w:val="00465DF7"/>
    <w:rsid w:val="00470A8F"/>
    <w:rsid w:val="0047259B"/>
    <w:rsid w:val="004725C7"/>
    <w:rsid w:val="004748E2"/>
    <w:rsid w:val="0047693C"/>
    <w:rsid w:val="0048752C"/>
    <w:rsid w:val="00487CF2"/>
    <w:rsid w:val="00487F53"/>
    <w:rsid w:val="00491B0A"/>
    <w:rsid w:val="004A2E14"/>
    <w:rsid w:val="004A30EC"/>
    <w:rsid w:val="004A3BD2"/>
    <w:rsid w:val="004A40D0"/>
    <w:rsid w:val="004A4E03"/>
    <w:rsid w:val="004A4F5E"/>
    <w:rsid w:val="004A57B5"/>
    <w:rsid w:val="004A58B8"/>
    <w:rsid w:val="004A7FA3"/>
    <w:rsid w:val="004B043D"/>
    <w:rsid w:val="004B09FD"/>
    <w:rsid w:val="004B5B0E"/>
    <w:rsid w:val="004C285E"/>
    <w:rsid w:val="004C4F2E"/>
    <w:rsid w:val="004C5202"/>
    <w:rsid w:val="004C69C9"/>
    <w:rsid w:val="004C6E76"/>
    <w:rsid w:val="004D2750"/>
    <w:rsid w:val="004D66D9"/>
    <w:rsid w:val="004D6EBF"/>
    <w:rsid w:val="004D7D38"/>
    <w:rsid w:val="004E6368"/>
    <w:rsid w:val="004F049F"/>
    <w:rsid w:val="004F13F7"/>
    <w:rsid w:val="004F4A1C"/>
    <w:rsid w:val="004F7D1F"/>
    <w:rsid w:val="00500022"/>
    <w:rsid w:val="00501247"/>
    <w:rsid w:val="00501D12"/>
    <w:rsid w:val="00505B69"/>
    <w:rsid w:val="00507FA3"/>
    <w:rsid w:val="00511291"/>
    <w:rsid w:val="00511FAE"/>
    <w:rsid w:val="00514D27"/>
    <w:rsid w:val="00522B5A"/>
    <w:rsid w:val="00525DF5"/>
    <w:rsid w:val="00533422"/>
    <w:rsid w:val="00533805"/>
    <w:rsid w:val="00537B63"/>
    <w:rsid w:val="00543D11"/>
    <w:rsid w:val="00544716"/>
    <w:rsid w:val="0054483C"/>
    <w:rsid w:val="00544BCE"/>
    <w:rsid w:val="00547F14"/>
    <w:rsid w:val="005531F1"/>
    <w:rsid w:val="005543F4"/>
    <w:rsid w:val="005548D0"/>
    <w:rsid w:val="0055529A"/>
    <w:rsid w:val="00557B53"/>
    <w:rsid w:val="005608DD"/>
    <w:rsid w:val="00562049"/>
    <w:rsid w:val="00562EF5"/>
    <w:rsid w:val="00563865"/>
    <w:rsid w:val="005719A0"/>
    <w:rsid w:val="0057367B"/>
    <w:rsid w:val="00577F44"/>
    <w:rsid w:val="00577FAC"/>
    <w:rsid w:val="0058008F"/>
    <w:rsid w:val="005813B8"/>
    <w:rsid w:val="0058275B"/>
    <w:rsid w:val="00582FE6"/>
    <w:rsid w:val="00583EDD"/>
    <w:rsid w:val="00587E18"/>
    <w:rsid w:val="00590594"/>
    <w:rsid w:val="00591F4B"/>
    <w:rsid w:val="0059206A"/>
    <w:rsid w:val="00596A2E"/>
    <w:rsid w:val="005A03B4"/>
    <w:rsid w:val="005A0D3A"/>
    <w:rsid w:val="005A279A"/>
    <w:rsid w:val="005A279F"/>
    <w:rsid w:val="005A2A38"/>
    <w:rsid w:val="005A32ED"/>
    <w:rsid w:val="005A6EB0"/>
    <w:rsid w:val="005B1B01"/>
    <w:rsid w:val="005B60CE"/>
    <w:rsid w:val="005C4362"/>
    <w:rsid w:val="005C747B"/>
    <w:rsid w:val="005C7C36"/>
    <w:rsid w:val="005D397D"/>
    <w:rsid w:val="005D3DC9"/>
    <w:rsid w:val="005D6E0F"/>
    <w:rsid w:val="005E3370"/>
    <w:rsid w:val="005E4F4C"/>
    <w:rsid w:val="005E716D"/>
    <w:rsid w:val="005F0400"/>
    <w:rsid w:val="005F1D41"/>
    <w:rsid w:val="005F445F"/>
    <w:rsid w:val="00601702"/>
    <w:rsid w:val="006049F7"/>
    <w:rsid w:val="00617CFE"/>
    <w:rsid w:val="006231F4"/>
    <w:rsid w:val="00627877"/>
    <w:rsid w:val="006305F0"/>
    <w:rsid w:val="0063106B"/>
    <w:rsid w:val="00633630"/>
    <w:rsid w:val="00634127"/>
    <w:rsid w:val="006463E7"/>
    <w:rsid w:val="00646ABF"/>
    <w:rsid w:val="006474D4"/>
    <w:rsid w:val="00651AF6"/>
    <w:rsid w:val="00651EBB"/>
    <w:rsid w:val="0065797A"/>
    <w:rsid w:val="00666C41"/>
    <w:rsid w:val="006702B4"/>
    <w:rsid w:val="00676106"/>
    <w:rsid w:val="00683FAE"/>
    <w:rsid w:val="00684DF9"/>
    <w:rsid w:val="00687A40"/>
    <w:rsid w:val="00687AE9"/>
    <w:rsid w:val="0069317D"/>
    <w:rsid w:val="00693F52"/>
    <w:rsid w:val="006952A5"/>
    <w:rsid w:val="006952C7"/>
    <w:rsid w:val="006A04DF"/>
    <w:rsid w:val="006A3492"/>
    <w:rsid w:val="006A38BC"/>
    <w:rsid w:val="006A5485"/>
    <w:rsid w:val="006A693E"/>
    <w:rsid w:val="006A6991"/>
    <w:rsid w:val="006A7524"/>
    <w:rsid w:val="006B1A4A"/>
    <w:rsid w:val="006B1C12"/>
    <w:rsid w:val="006B2815"/>
    <w:rsid w:val="006B29F1"/>
    <w:rsid w:val="006B4AD0"/>
    <w:rsid w:val="006C0440"/>
    <w:rsid w:val="006C4B81"/>
    <w:rsid w:val="006D097E"/>
    <w:rsid w:val="006D17B1"/>
    <w:rsid w:val="006D4D02"/>
    <w:rsid w:val="006D7CFE"/>
    <w:rsid w:val="006E0DAF"/>
    <w:rsid w:val="006E65C4"/>
    <w:rsid w:val="006E6E9E"/>
    <w:rsid w:val="006E728B"/>
    <w:rsid w:val="006F040F"/>
    <w:rsid w:val="006F1943"/>
    <w:rsid w:val="006F3076"/>
    <w:rsid w:val="006F50F9"/>
    <w:rsid w:val="006F543A"/>
    <w:rsid w:val="006F57AE"/>
    <w:rsid w:val="006F6882"/>
    <w:rsid w:val="007002FA"/>
    <w:rsid w:val="00702EAA"/>
    <w:rsid w:val="00703C5A"/>
    <w:rsid w:val="007058E4"/>
    <w:rsid w:val="00711BF8"/>
    <w:rsid w:val="00712928"/>
    <w:rsid w:val="00713101"/>
    <w:rsid w:val="00713240"/>
    <w:rsid w:val="00713280"/>
    <w:rsid w:val="007138C6"/>
    <w:rsid w:val="0071551E"/>
    <w:rsid w:val="00715DD7"/>
    <w:rsid w:val="00720F74"/>
    <w:rsid w:val="0072551A"/>
    <w:rsid w:val="00727927"/>
    <w:rsid w:val="00727A36"/>
    <w:rsid w:val="00731B62"/>
    <w:rsid w:val="00734FC9"/>
    <w:rsid w:val="00737EA5"/>
    <w:rsid w:val="00743949"/>
    <w:rsid w:val="00744068"/>
    <w:rsid w:val="007450A1"/>
    <w:rsid w:val="00746229"/>
    <w:rsid w:val="00760E8D"/>
    <w:rsid w:val="007642D6"/>
    <w:rsid w:val="00764A1A"/>
    <w:rsid w:val="00764ADD"/>
    <w:rsid w:val="00767B67"/>
    <w:rsid w:val="0077091E"/>
    <w:rsid w:val="007770FA"/>
    <w:rsid w:val="007808B8"/>
    <w:rsid w:val="00783807"/>
    <w:rsid w:val="00785090"/>
    <w:rsid w:val="0079217E"/>
    <w:rsid w:val="00794982"/>
    <w:rsid w:val="007A3478"/>
    <w:rsid w:val="007A4A57"/>
    <w:rsid w:val="007A7A4F"/>
    <w:rsid w:val="007B1647"/>
    <w:rsid w:val="007B1EE9"/>
    <w:rsid w:val="007B298F"/>
    <w:rsid w:val="007B4756"/>
    <w:rsid w:val="007B5D9F"/>
    <w:rsid w:val="007B656F"/>
    <w:rsid w:val="007C1524"/>
    <w:rsid w:val="007C654C"/>
    <w:rsid w:val="007C7250"/>
    <w:rsid w:val="007D1039"/>
    <w:rsid w:val="007D11EF"/>
    <w:rsid w:val="007E0B60"/>
    <w:rsid w:val="007E61DD"/>
    <w:rsid w:val="007F4178"/>
    <w:rsid w:val="007F5A07"/>
    <w:rsid w:val="007F5ADF"/>
    <w:rsid w:val="007F63D2"/>
    <w:rsid w:val="007F6445"/>
    <w:rsid w:val="00801C26"/>
    <w:rsid w:val="00810C1E"/>
    <w:rsid w:val="00812850"/>
    <w:rsid w:val="00817494"/>
    <w:rsid w:val="00822378"/>
    <w:rsid w:val="00830BE3"/>
    <w:rsid w:val="0083107F"/>
    <w:rsid w:val="00831420"/>
    <w:rsid w:val="00831A3E"/>
    <w:rsid w:val="00832030"/>
    <w:rsid w:val="008338E5"/>
    <w:rsid w:val="00834507"/>
    <w:rsid w:val="00834576"/>
    <w:rsid w:val="00834F10"/>
    <w:rsid w:val="00835C20"/>
    <w:rsid w:val="008370B2"/>
    <w:rsid w:val="00844027"/>
    <w:rsid w:val="00847082"/>
    <w:rsid w:val="0084733E"/>
    <w:rsid w:val="00854F94"/>
    <w:rsid w:val="008568A0"/>
    <w:rsid w:val="00857F6F"/>
    <w:rsid w:val="00860732"/>
    <w:rsid w:val="00863566"/>
    <w:rsid w:val="00864105"/>
    <w:rsid w:val="00864F54"/>
    <w:rsid w:val="00867313"/>
    <w:rsid w:val="00867985"/>
    <w:rsid w:val="0087285E"/>
    <w:rsid w:val="00872E88"/>
    <w:rsid w:val="008743D4"/>
    <w:rsid w:val="0087486F"/>
    <w:rsid w:val="00876032"/>
    <w:rsid w:val="00877013"/>
    <w:rsid w:val="008865DD"/>
    <w:rsid w:val="0088713F"/>
    <w:rsid w:val="00895449"/>
    <w:rsid w:val="008A47A3"/>
    <w:rsid w:val="008A6D73"/>
    <w:rsid w:val="008B43E5"/>
    <w:rsid w:val="008B51D3"/>
    <w:rsid w:val="008B5A1D"/>
    <w:rsid w:val="008B67EA"/>
    <w:rsid w:val="008B6878"/>
    <w:rsid w:val="008B7210"/>
    <w:rsid w:val="008C08A7"/>
    <w:rsid w:val="008C0EAE"/>
    <w:rsid w:val="008C3051"/>
    <w:rsid w:val="008C3A9E"/>
    <w:rsid w:val="008C75A3"/>
    <w:rsid w:val="008D0791"/>
    <w:rsid w:val="008D6136"/>
    <w:rsid w:val="008E0AF0"/>
    <w:rsid w:val="008E20BA"/>
    <w:rsid w:val="008E58EA"/>
    <w:rsid w:val="008F7948"/>
    <w:rsid w:val="00900B4C"/>
    <w:rsid w:val="00900E8B"/>
    <w:rsid w:val="0090626F"/>
    <w:rsid w:val="009070C6"/>
    <w:rsid w:val="00911B90"/>
    <w:rsid w:val="00916595"/>
    <w:rsid w:val="00916946"/>
    <w:rsid w:val="0091725B"/>
    <w:rsid w:val="009172D4"/>
    <w:rsid w:val="009174B9"/>
    <w:rsid w:val="00923FD1"/>
    <w:rsid w:val="0092525F"/>
    <w:rsid w:val="0093241E"/>
    <w:rsid w:val="00941CBA"/>
    <w:rsid w:val="009472B4"/>
    <w:rsid w:val="00947517"/>
    <w:rsid w:val="00947D64"/>
    <w:rsid w:val="0095757A"/>
    <w:rsid w:val="00957F87"/>
    <w:rsid w:val="009615B3"/>
    <w:rsid w:val="00970E5C"/>
    <w:rsid w:val="009811C2"/>
    <w:rsid w:val="00984F51"/>
    <w:rsid w:val="00986655"/>
    <w:rsid w:val="009868A3"/>
    <w:rsid w:val="00986932"/>
    <w:rsid w:val="00987E34"/>
    <w:rsid w:val="009900BC"/>
    <w:rsid w:val="00991C85"/>
    <w:rsid w:val="00997E9D"/>
    <w:rsid w:val="009A1BCA"/>
    <w:rsid w:val="009A4050"/>
    <w:rsid w:val="009B15B6"/>
    <w:rsid w:val="009B2AD3"/>
    <w:rsid w:val="009B2D8F"/>
    <w:rsid w:val="009C0E61"/>
    <w:rsid w:val="009C38FE"/>
    <w:rsid w:val="009C3A78"/>
    <w:rsid w:val="009C61F6"/>
    <w:rsid w:val="009D0826"/>
    <w:rsid w:val="009D5BEA"/>
    <w:rsid w:val="009E3763"/>
    <w:rsid w:val="009E596C"/>
    <w:rsid w:val="009E6F42"/>
    <w:rsid w:val="009F1799"/>
    <w:rsid w:val="009F2148"/>
    <w:rsid w:val="009F2152"/>
    <w:rsid w:val="009F697D"/>
    <w:rsid w:val="00A012E2"/>
    <w:rsid w:val="00A01BBC"/>
    <w:rsid w:val="00A03AFE"/>
    <w:rsid w:val="00A0410D"/>
    <w:rsid w:val="00A050C8"/>
    <w:rsid w:val="00A06DA0"/>
    <w:rsid w:val="00A06E92"/>
    <w:rsid w:val="00A12E36"/>
    <w:rsid w:val="00A1437E"/>
    <w:rsid w:val="00A21A4F"/>
    <w:rsid w:val="00A228A4"/>
    <w:rsid w:val="00A22A6C"/>
    <w:rsid w:val="00A240C1"/>
    <w:rsid w:val="00A320A2"/>
    <w:rsid w:val="00A32120"/>
    <w:rsid w:val="00A35A6A"/>
    <w:rsid w:val="00A36F15"/>
    <w:rsid w:val="00A400BA"/>
    <w:rsid w:val="00A41542"/>
    <w:rsid w:val="00A45D8C"/>
    <w:rsid w:val="00A479F0"/>
    <w:rsid w:val="00A47F36"/>
    <w:rsid w:val="00A500E9"/>
    <w:rsid w:val="00A510E9"/>
    <w:rsid w:val="00A512F0"/>
    <w:rsid w:val="00A51D1F"/>
    <w:rsid w:val="00A53138"/>
    <w:rsid w:val="00A53DC8"/>
    <w:rsid w:val="00A55048"/>
    <w:rsid w:val="00A550D0"/>
    <w:rsid w:val="00A57AA4"/>
    <w:rsid w:val="00A65747"/>
    <w:rsid w:val="00A70F54"/>
    <w:rsid w:val="00A70FFB"/>
    <w:rsid w:val="00A73F7E"/>
    <w:rsid w:val="00A74533"/>
    <w:rsid w:val="00A77A2A"/>
    <w:rsid w:val="00A8638B"/>
    <w:rsid w:val="00A87470"/>
    <w:rsid w:val="00A87902"/>
    <w:rsid w:val="00A87AED"/>
    <w:rsid w:val="00A9280D"/>
    <w:rsid w:val="00A92B9D"/>
    <w:rsid w:val="00A9425D"/>
    <w:rsid w:val="00A96430"/>
    <w:rsid w:val="00AA0F3A"/>
    <w:rsid w:val="00AA2650"/>
    <w:rsid w:val="00AA486B"/>
    <w:rsid w:val="00AA4A5D"/>
    <w:rsid w:val="00AA66D6"/>
    <w:rsid w:val="00AB02B3"/>
    <w:rsid w:val="00AB6140"/>
    <w:rsid w:val="00AB6280"/>
    <w:rsid w:val="00AC0FD2"/>
    <w:rsid w:val="00AC2E36"/>
    <w:rsid w:val="00AC5ABC"/>
    <w:rsid w:val="00AD150C"/>
    <w:rsid w:val="00AD199C"/>
    <w:rsid w:val="00AD4235"/>
    <w:rsid w:val="00AD4D31"/>
    <w:rsid w:val="00AD5381"/>
    <w:rsid w:val="00AD62D7"/>
    <w:rsid w:val="00AD688C"/>
    <w:rsid w:val="00AE0394"/>
    <w:rsid w:val="00AE70FB"/>
    <w:rsid w:val="00AF4289"/>
    <w:rsid w:val="00AF6176"/>
    <w:rsid w:val="00B01E01"/>
    <w:rsid w:val="00B02EC8"/>
    <w:rsid w:val="00B03258"/>
    <w:rsid w:val="00B176E0"/>
    <w:rsid w:val="00B233BC"/>
    <w:rsid w:val="00B23B00"/>
    <w:rsid w:val="00B24C9C"/>
    <w:rsid w:val="00B25FC0"/>
    <w:rsid w:val="00B303EF"/>
    <w:rsid w:val="00B30F81"/>
    <w:rsid w:val="00B30FC1"/>
    <w:rsid w:val="00B33FDA"/>
    <w:rsid w:val="00B34433"/>
    <w:rsid w:val="00B352F5"/>
    <w:rsid w:val="00B37B0B"/>
    <w:rsid w:val="00B40DCB"/>
    <w:rsid w:val="00B4212B"/>
    <w:rsid w:val="00B446CD"/>
    <w:rsid w:val="00B45917"/>
    <w:rsid w:val="00B462CC"/>
    <w:rsid w:val="00B54E0C"/>
    <w:rsid w:val="00B563AA"/>
    <w:rsid w:val="00B56DDA"/>
    <w:rsid w:val="00B60C30"/>
    <w:rsid w:val="00B60E96"/>
    <w:rsid w:val="00B61196"/>
    <w:rsid w:val="00B63DDD"/>
    <w:rsid w:val="00B64100"/>
    <w:rsid w:val="00B651A1"/>
    <w:rsid w:val="00B65552"/>
    <w:rsid w:val="00B67956"/>
    <w:rsid w:val="00B67B7E"/>
    <w:rsid w:val="00B70B1C"/>
    <w:rsid w:val="00B7422A"/>
    <w:rsid w:val="00B80241"/>
    <w:rsid w:val="00B80BE9"/>
    <w:rsid w:val="00B82325"/>
    <w:rsid w:val="00B92EA5"/>
    <w:rsid w:val="00B93790"/>
    <w:rsid w:val="00B94228"/>
    <w:rsid w:val="00B94E7F"/>
    <w:rsid w:val="00B96ABF"/>
    <w:rsid w:val="00B9725C"/>
    <w:rsid w:val="00BA2003"/>
    <w:rsid w:val="00BA42FE"/>
    <w:rsid w:val="00BB106C"/>
    <w:rsid w:val="00BC30C1"/>
    <w:rsid w:val="00BC33C0"/>
    <w:rsid w:val="00BC44FE"/>
    <w:rsid w:val="00BD07DA"/>
    <w:rsid w:val="00BD3E2B"/>
    <w:rsid w:val="00BD4284"/>
    <w:rsid w:val="00BD4EBC"/>
    <w:rsid w:val="00BD594B"/>
    <w:rsid w:val="00BD657A"/>
    <w:rsid w:val="00BD7C65"/>
    <w:rsid w:val="00BE0DC5"/>
    <w:rsid w:val="00BF02F8"/>
    <w:rsid w:val="00C0094B"/>
    <w:rsid w:val="00C0216E"/>
    <w:rsid w:val="00C03292"/>
    <w:rsid w:val="00C03FA0"/>
    <w:rsid w:val="00C05ACE"/>
    <w:rsid w:val="00C1017D"/>
    <w:rsid w:val="00C10BA8"/>
    <w:rsid w:val="00C120BB"/>
    <w:rsid w:val="00C12FFD"/>
    <w:rsid w:val="00C132DA"/>
    <w:rsid w:val="00C15C79"/>
    <w:rsid w:val="00C16BAC"/>
    <w:rsid w:val="00C211C9"/>
    <w:rsid w:val="00C237C7"/>
    <w:rsid w:val="00C26C4E"/>
    <w:rsid w:val="00C27272"/>
    <w:rsid w:val="00C32B18"/>
    <w:rsid w:val="00C35851"/>
    <w:rsid w:val="00C36767"/>
    <w:rsid w:val="00C41BBE"/>
    <w:rsid w:val="00C42694"/>
    <w:rsid w:val="00C44898"/>
    <w:rsid w:val="00C4693F"/>
    <w:rsid w:val="00C47CC4"/>
    <w:rsid w:val="00C569BD"/>
    <w:rsid w:val="00C60948"/>
    <w:rsid w:val="00C6393F"/>
    <w:rsid w:val="00C65609"/>
    <w:rsid w:val="00C65AEA"/>
    <w:rsid w:val="00C677EB"/>
    <w:rsid w:val="00C708B4"/>
    <w:rsid w:val="00C74B5C"/>
    <w:rsid w:val="00C77820"/>
    <w:rsid w:val="00C83184"/>
    <w:rsid w:val="00C83810"/>
    <w:rsid w:val="00C95F8E"/>
    <w:rsid w:val="00C97D85"/>
    <w:rsid w:val="00CA26F6"/>
    <w:rsid w:val="00CA602D"/>
    <w:rsid w:val="00CB3CAC"/>
    <w:rsid w:val="00CB49BF"/>
    <w:rsid w:val="00CB5784"/>
    <w:rsid w:val="00CB7DB9"/>
    <w:rsid w:val="00CC1141"/>
    <w:rsid w:val="00CC356F"/>
    <w:rsid w:val="00CD198D"/>
    <w:rsid w:val="00CD2BE0"/>
    <w:rsid w:val="00CE1990"/>
    <w:rsid w:val="00CE1F94"/>
    <w:rsid w:val="00CE2A01"/>
    <w:rsid w:val="00CE3A2B"/>
    <w:rsid w:val="00CE5C61"/>
    <w:rsid w:val="00CE681B"/>
    <w:rsid w:val="00CF34D6"/>
    <w:rsid w:val="00CF7F66"/>
    <w:rsid w:val="00D0040F"/>
    <w:rsid w:val="00D06DE9"/>
    <w:rsid w:val="00D07105"/>
    <w:rsid w:val="00D108C6"/>
    <w:rsid w:val="00D16057"/>
    <w:rsid w:val="00D203A7"/>
    <w:rsid w:val="00D20F21"/>
    <w:rsid w:val="00D2495F"/>
    <w:rsid w:val="00D273F7"/>
    <w:rsid w:val="00D3078A"/>
    <w:rsid w:val="00D33D2D"/>
    <w:rsid w:val="00D34052"/>
    <w:rsid w:val="00D36CAA"/>
    <w:rsid w:val="00D41E89"/>
    <w:rsid w:val="00D4609B"/>
    <w:rsid w:val="00D556F5"/>
    <w:rsid w:val="00D55754"/>
    <w:rsid w:val="00D6494C"/>
    <w:rsid w:val="00D71251"/>
    <w:rsid w:val="00D719AF"/>
    <w:rsid w:val="00D72DA1"/>
    <w:rsid w:val="00D809EA"/>
    <w:rsid w:val="00D86E1F"/>
    <w:rsid w:val="00D873A9"/>
    <w:rsid w:val="00D919FB"/>
    <w:rsid w:val="00D93AA9"/>
    <w:rsid w:val="00D94455"/>
    <w:rsid w:val="00D96F5E"/>
    <w:rsid w:val="00DA1A6A"/>
    <w:rsid w:val="00DA2EF3"/>
    <w:rsid w:val="00DA563F"/>
    <w:rsid w:val="00DB07C5"/>
    <w:rsid w:val="00DB52FE"/>
    <w:rsid w:val="00DD2760"/>
    <w:rsid w:val="00DE0EE8"/>
    <w:rsid w:val="00DE7C74"/>
    <w:rsid w:val="00DF33D1"/>
    <w:rsid w:val="00E0047A"/>
    <w:rsid w:val="00E074A2"/>
    <w:rsid w:val="00E118F8"/>
    <w:rsid w:val="00E167FF"/>
    <w:rsid w:val="00E20D9C"/>
    <w:rsid w:val="00E2287E"/>
    <w:rsid w:val="00E238F6"/>
    <w:rsid w:val="00E25E6C"/>
    <w:rsid w:val="00E274C0"/>
    <w:rsid w:val="00E30EB0"/>
    <w:rsid w:val="00E31FD4"/>
    <w:rsid w:val="00E336F4"/>
    <w:rsid w:val="00E426CD"/>
    <w:rsid w:val="00E47101"/>
    <w:rsid w:val="00E478A5"/>
    <w:rsid w:val="00E503AD"/>
    <w:rsid w:val="00E538A8"/>
    <w:rsid w:val="00E54D8C"/>
    <w:rsid w:val="00E62ADA"/>
    <w:rsid w:val="00E63EFD"/>
    <w:rsid w:val="00E63F5D"/>
    <w:rsid w:val="00E74490"/>
    <w:rsid w:val="00E7453A"/>
    <w:rsid w:val="00E75C22"/>
    <w:rsid w:val="00E80488"/>
    <w:rsid w:val="00E87399"/>
    <w:rsid w:val="00E87D60"/>
    <w:rsid w:val="00E9065F"/>
    <w:rsid w:val="00E91232"/>
    <w:rsid w:val="00E9559E"/>
    <w:rsid w:val="00E9792B"/>
    <w:rsid w:val="00EA151F"/>
    <w:rsid w:val="00EA156B"/>
    <w:rsid w:val="00EA7893"/>
    <w:rsid w:val="00EA7ABD"/>
    <w:rsid w:val="00EB0830"/>
    <w:rsid w:val="00EB1021"/>
    <w:rsid w:val="00EB395F"/>
    <w:rsid w:val="00EB48C7"/>
    <w:rsid w:val="00EC00BF"/>
    <w:rsid w:val="00ED028E"/>
    <w:rsid w:val="00ED08A4"/>
    <w:rsid w:val="00ED0C7E"/>
    <w:rsid w:val="00ED46E9"/>
    <w:rsid w:val="00ED6239"/>
    <w:rsid w:val="00ED7D0F"/>
    <w:rsid w:val="00EE105C"/>
    <w:rsid w:val="00EE3D70"/>
    <w:rsid w:val="00EE4A6C"/>
    <w:rsid w:val="00EE52F4"/>
    <w:rsid w:val="00EE7398"/>
    <w:rsid w:val="00EF00C7"/>
    <w:rsid w:val="00EF11F8"/>
    <w:rsid w:val="00EF1861"/>
    <w:rsid w:val="00EF60CE"/>
    <w:rsid w:val="00EF68CA"/>
    <w:rsid w:val="00EF6921"/>
    <w:rsid w:val="00EF79E2"/>
    <w:rsid w:val="00F01610"/>
    <w:rsid w:val="00F01C4B"/>
    <w:rsid w:val="00F0237F"/>
    <w:rsid w:val="00F03AD8"/>
    <w:rsid w:val="00F03C40"/>
    <w:rsid w:val="00F03EEC"/>
    <w:rsid w:val="00F10206"/>
    <w:rsid w:val="00F10BEC"/>
    <w:rsid w:val="00F13196"/>
    <w:rsid w:val="00F1364A"/>
    <w:rsid w:val="00F139C2"/>
    <w:rsid w:val="00F158CA"/>
    <w:rsid w:val="00F20651"/>
    <w:rsid w:val="00F20AD3"/>
    <w:rsid w:val="00F22EEB"/>
    <w:rsid w:val="00F27E9E"/>
    <w:rsid w:val="00F3324C"/>
    <w:rsid w:val="00F34C76"/>
    <w:rsid w:val="00F35F8A"/>
    <w:rsid w:val="00F36BEA"/>
    <w:rsid w:val="00F403C3"/>
    <w:rsid w:val="00F413AD"/>
    <w:rsid w:val="00F44117"/>
    <w:rsid w:val="00F44CCC"/>
    <w:rsid w:val="00F459E3"/>
    <w:rsid w:val="00F46823"/>
    <w:rsid w:val="00F51522"/>
    <w:rsid w:val="00F548C1"/>
    <w:rsid w:val="00F5753C"/>
    <w:rsid w:val="00F57B72"/>
    <w:rsid w:val="00F663BD"/>
    <w:rsid w:val="00F6798D"/>
    <w:rsid w:val="00F74709"/>
    <w:rsid w:val="00F75707"/>
    <w:rsid w:val="00F75B58"/>
    <w:rsid w:val="00F77C4B"/>
    <w:rsid w:val="00F77F45"/>
    <w:rsid w:val="00F80C47"/>
    <w:rsid w:val="00F83206"/>
    <w:rsid w:val="00F8454A"/>
    <w:rsid w:val="00F87D29"/>
    <w:rsid w:val="00F9164B"/>
    <w:rsid w:val="00F926E3"/>
    <w:rsid w:val="00F949B6"/>
    <w:rsid w:val="00F95078"/>
    <w:rsid w:val="00FA140F"/>
    <w:rsid w:val="00FA2A3F"/>
    <w:rsid w:val="00FA408A"/>
    <w:rsid w:val="00FA7DD8"/>
    <w:rsid w:val="00FB05DF"/>
    <w:rsid w:val="00FB0FA7"/>
    <w:rsid w:val="00FB17C7"/>
    <w:rsid w:val="00FB5E65"/>
    <w:rsid w:val="00FC0F76"/>
    <w:rsid w:val="00FC1685"/>
    <w:rsid w:val="00FC3CCD"/>
    <w:rsid w:val="00FD0D7C"/>
    <w:rsid w:val="00FD15AF"/>
    <w:rsid w:val="00FD30A5"/>
    <w:rsid w:val="00FD50CB"/>
    <w:rsid w:val="00FD7688"/>
    <w:rsid w:val="00FE1688"/>
    <w:rsid w:val="00FE33CB"/>
    <w:rsid w:val="00FE3D63"/>
    <w:rsid w:val="00FF29F1"/>
    <w:rsid w:val="00FF4B85"/>
    <w:rsid w:val="00FF4CA7"/>
    <w:rsid w:val="00FF4CB6"/>
    <w:rsid w:val="00FF660F"/>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5F1AC3"/>
  <w15:chartTrackingRefBased/>
  <w15:docId w15:val="{65CC5F31-119C-4E00-90B3-8E6370B1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hi-IN"/>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445F"/>
    <w:pPr>
      <w:spacing w:after="200" w:line="276" w:lineRule="auto"/>
    </w:pPr>
    <w:rPr>
      <w:rFonts w:ascii="Calibri" w:hAnsi="Calibri"/>
      <w:sz w:val="22"/>
      <w:szCs w:val="22"/>
      <w:lang w:val="id-ID" w:eastAsia="en-US" w:bidi="ar-SA"/>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basedOn w:val="Normal"/>
    <w:link w:val="FootnoteTextChar"/>
    <w:uiPriority w:val="99"/>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link w:val="FootnoteText"/>
    <w:uiPriority w:val="99"/>
    <w:locked/>
    <w:rsid w:val="00F459E3"/>
    <w:rPr>
      <w:rFonts w:eastAsia="Calibri"/>
      <w:lang w:val="en-US" w:eastAsia="en-US" w:bidi="ar-SA"/>
    </w:rPr>
  </w:style>
  <w:style w:type="paragraph" w:styleId="ListParagraph">
    <w:name w:val="List Paragraph"/>
    <w:basedOn w:val="Normal"/>
    <w:link w:val="ListParagraphChar"/>
    <w:uiPriority w:val="34"/>
    <w:qFormat/>
    <w:rsid w:val="00F459E3"/>
    <w:pPr>
      <w:ind w:left="720"/>
    </w:pPr>
    <w:rPr>
      <w:lang w:eastAsia="x-none"/>
    </w:r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uiPriority w:val="99"/>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eastAsia="en-US" w:bidi="ar-SA"/>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val="id-ID" w:eastAsia="en-US" w:bidi="ar-SA"/>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rsid w:val="00984F51"/>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val="x-none"/>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link w:val="ListParagraph"/>
    <w:uiPriority w:val="34"/>
    <w:locked/>
    <w:rsid w:val="001B6D7D"/>
    <w:rPr>
      <w:rFonts w:ascii="Calibri" w:hAnsi="Calibri"/>
      <w:sz w:val="22"/>
      <w:szCs w:val="22"/>
      <w:lang w:val="id-ID"/>
    </w:rPr>
  </w:style>
  <w:style w:type="paragraph" w:styleId="Bibliography">
    <w:name w:val="Bibliography"/>
    <w:basedOn w:val="Normal"/>
    <w:next w:val="Normal"/>
    <w:uiPriority w:val="37"/>
    <w:unhideWhenUsed/>
    <w:rsid w:val="002A5D8F"/>
    <w:pPr>
      <w:spacing w:after="160" w:line="259" w:lineRule="auto"/>
    </w:pPr>
    <w:rPr>
      <w:rFonts w:asciiTheme="minorHAnsi" w:eastAsiaTheme="minorEastAsia" w:hAnsiTheme="minorHAnsi" w:cstheme="minorBidi"/>
      <w:szCs w:val="20"/>
      <w:lang w:val="en-US" w:eastAsia="zh-CN" w:bidi="hi-IN"/>
    </w:rPr>
  </w:style>
  <w:style w:type="character" w:styleId="UnresolvedMention">
    <w:name w:val="Unresolved Mention"/>
    <w:basedOn w:val="DefaultParagraphFont"/>
    <w:uiPriority w:val="99"/>
    <w:semiHidden/>
    <w:unhideWhenUsed/>
    <w:rsid w:val="002A5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11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ongabay.co.id/2020/04/16/perpres-ispo-terbit-akankah-perkuat-perbaikan-tata-kelola-sawit/" TargetMode="External"/><Relationship Id="rId18" Type="http://schemas.openxmlformats.org/officeDocument/2006/relationships/hyperlink" Target="https://ekonomi.bisnis.com/read/20211117/9/1467135/menko-airlangga-tegaskan-kontribusi-sawit-untuk-pdb-indonesia-capai-3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nbcindonesia.com/market/20190516150147-17-72967/sebabkan-defisit-parah-ini-4-alasan-harga-cpo-terjun-bebas" TargetMode="External"/><Relationship Id="rId17" Type="http://schemas.openxmlformats.org/officeDocument/2006/relationships/hyperlink" Target="https://finance.detik.com/berita-ekonomi-bisnis/d-3928433/jokowi-resmikan-portal-kebijakan-satu-peta-agustus-2018" TargetMode="External"/><Relationship Id="rId2" Type="http://schemas.openxmlformats.org/officeDocument/2006/relationships/numbering" Target="numbering.xml"/><Relationship Id="rId16" Type="http://schemas.openxmlformats.org/officeDocument/2006/relationships/hyperlink" Target="https://www.dw.com/id/swiss-sepakati-perdagangan-bebas-minyak-sawit-indonesia/a-5680237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awitindonesia.com/menyoal-kebijakan-satu-peta/"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ur-lex.europa.eu/legal-content/EN/TXT/?uri=uriserv:OJ.L_.2018.328.01.0082.01.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DrR19</b:Tag>
    <b:SourceType>ArticleInAPeriodical</b:SourceType>
    <b:Guid>{5FAD5824-7C45-40B9-8260-031552E5B7B3}</b:Guid>
    <b:Author>
      <b:Author>
        <b:NameList>
          <b:Person>
            <b:Last>Rosediana Suharto</b:Last>
          </b:Person>
        </b:NameList>
      </b:Author>
    </b:Author>
    <b:Title>EU Renewable Directive II dan Hambatan Perdagangan</b:Title>
    <b:PeriodicalTitle>Majalah Sawit Indonesia</b:PeriodicalTitle>
    <b:Year>2019</b:Year>
    <b:Month>Maret</b:Month>
    <b:Day>22</b:Day>
    <b:RefOrder>4</b:RefOrder>
  </b:Source>
  <b:Source>
    <b:Tag>Chr22</b:Tag>
    <b:SourceType>ArticleInAPeriodical</b:SourceType>
    <b:Guid>{CE7E284B-C844-4107-B0BF-DD423367DE66}</b:Guid>
    <b:Author>
      <b:Author>
        <b:NameList>
          <b:Person>
            <b:Last>Christiawan</b:Last>
            <b:First>Rio</b:First>
          </b:Person>
        </b:NameList>
      </b:Author>
    </b:Author>
    <b:Title>Menyoal Kebijakan Satu Peta</b:Title>
    <b:PeriodicalTitle>Majalah Sawit Indonesia</b:PeriodicalTitle>
    <b:Year>2022</b:Year>
    <b:Month>juni</b:Month>
    <b:Day>11</b:Day>
    <b:RefOrder>25</b:RefOrder>
  </b:Source>
  <b:Source>
    <b:Tag>Tim17</b:Tag>
    <b:SourceType>JournalArticle</b:SourceType>
    <b:Guid>{58945328-F059-47D2-8933-C76BDB13860E}</b:Guid>
    <b:Author>
      <b:Author>
        <b:NameList>
          <b:Person>
            <b:Last>PASPI</b:Last>
            <b:First>Tim</b:First>
            <b:Middle>Riset</b:Middle>
          </b:Person>
        </b:NameList>
      </b:Author>
    </b:Author>
    <b:Title>Analisis Ekspor CPO Indonesia ke Uni Eropa: Faktor Apa yang Mendorong Trend Positif?</b:Title>
    <b:Year>2017</b:Year>
    <b:Pages>1004-1010</b:Pages>
    <b:JournalName>Monitor Analisis Isu Strategis Sawit Vol. III, No. 46/11/2017</b:JournalName>
    <b:RefOrder>15</b:RefOrder>
  </b:Source>
  <b:Source>
    <b:Tag>Kem17</b:Tag>
    <b:SourceType>ArticleInAPeriodical</b:SourceType>
    <b:Guid>{FF2D6224-2233-41D3-B786-85AC52F2BFCF}</b:Guid>
    <b:Author>
      <b:Author>
        <b:NameList>
          <b:Person>
            <b:Last>Kementan</b:Last>
          </b:Person>
        </b:NameList>
      </b:Author>
    </b:Author>
    <b:Title>Peremajaan Kelapa Sawit Untuk Tingkatkan Pendapatan Petani dan Kemajuan Sawit Indonesia</b:Title>
    <b:Year>2017</b:Year>
    <b:Month>Oktober</b:Month>
    <b:Day>13</b:Day>
    <b:RefOrder>20</b:RefOrder>
  </b:Source>
  <b:Source>
    <b:Tag>BPD201</b:Tag>
    <b:SourceType>ArticleInAPeriodical</b:SourceType>
    <b:Guid>{DE0402B5-E749-483C-BB40-5C80B411C09F}</b:Guid>
    <b:Author>
      <b:Author>
        <b:NameList>
          <b:Person>
            <b:Last>BPDP</b:Last>
          </b:Person>
        </b:NameList>
      </b:Author>
    </b:Author>
    <b:Year>2020</b:Year>
    <b:Month>Agustus</b:Month>
    <b:Day>18</b:Day>
    <b:RefOrder>22</b:RefOrder>
  </b:Source>
  <b:Source>
    <b:Tag>DW21</b:Tag>
    <b:SourceType>ArticleInAPeriodical</b:SourceType>
    <b:Guid>{0C6D82F6-E166-46E1-BFAF-CF9AA883C73B}</b:Guid>
    <b:Title>Referendum Swiss Setuju Perjanjian Dagang dengan Indonesia</b:Title>
    <b:Year>2021</b:Year>
    <b:Author>
      <b:Author>
        <b:NameList>
          <b:Person>
            <b:Last>DW</b:Last>
          </b:Person>
        </b:NameList>
      </b:Author>
    </b:Author>
    <b:Month>Maret</b:Month>
    <b:Day>8</b:Day>
    <b:RefOrder>27</b:RefOrder>
  </b:Source>
  <b:Source>
    <b:Tag>Sam19</b:Tag>
    <b:SourceType>ArticleInAPeriodical</b:SourceType>
    <b:Guid>{8AA8576B-00EA-43F9-9346-82D86414806C}</b:Guid>
    <b:Author>
      <b:Author>
        <b:NameList>
          <b:Person>
            <b:Last>Pablo</b:Last>
            <b:First>Samuel</b:First>
          </b:Person>
        </b:NameList>
      </b:Author>
    </b:Author>
    <b:Title>Penjelasan Lengkap UE terkait Biodiesel Berbasis CPO</b:Title>
    <b:PeriodicalTitle>CNBC Indonesia</b:PeriodicalTitle>
    <b:Year>2019</b:Year>
    <b:Month>Maret</b:Month>
    <b:Day>21</b:Day>
    <b:RefOrder>5</b:RefOrder>
  </b:Source>
  <b:Source>
    <b:Tag>Eur20</b:Tag>
    <b:SourceType>Report</b:SourceType>
    <b:Guid>{25BAC105-6893-4D38-9919-0D1FC09A7AD2}</b:Guid>
    <b:Title>RED II</b:Title>
    <b:Year>2020</b:Year>
    <b:Author>
      <b:Author>
        <b:NameList>
          <b:Person>
            <b:Last>Comission</b:Last>
            <b:First>European</b:First>
          </b:Person>
        </b:NameList>
      </b:Author>
    </b:Author>
    <b:RefOrder>6</b:RefOrder>
  </b:Source>
</b:Sources>
</file>

<file path=customXml/itemProps1.xml><?xml version="1.0" encoding="utf-8"?>
<ds:datastoreItem xmlns:ds="http://schemas.openxmlformats.org/officeDocument/2006/customXml" ds:itemID="{7374DE4A-F881-47C1-8B13-8509EF7A6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5900</Words>
  <Characters>33631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39453</CharactersWithSpaces>
  <SharedDoc>false</SharedDoc>
  <HLinks>
    <vt:vector size="18" baseType="variant">
      <vt:variant>
        <vt:i4>6029327</vt:i4>
      </vt:variant>
      <vt:variant>
        <vt:i4>6</vt:i4>
      </vt:variant>
      <vt:variant>
        <vt:i4>0</vt:i4>
      </vt:variant>
      <vt:variant>
        <vt:i4>5</vt:i4>
      </vt:variant>
      <vt:variant>
        <vt:lpwstr>https://thediplomat.com/2015/06/how-the-chinese-government-fights-terrorism/</vt:lpwstr>
      </vt:variant>
      <vt:variant>
        <vt:lpwstr/>
      </vt:variant>
      <vt:variant>
        <vt:i4>3735607</vt:i4>
      </vt:variant>
      <vt:variant>
        <vt:i4>3</vt:i4>
      </vt:variant>
      <vt:variant>
        <vt:i4>0</vt:i4>
      </vt:variant>
      <vt:variant>
        <vt:i4>5</vt:i4>
      </vt:variant>
      <vt:variant>
        <vt:lpwstr>https://www.bloomberg.com/news/articles/2018-01-02/russia-posts-highest-ever-natural-gas-output-in-expansion-drive</vt:lpwstr>
      </vt:variant>
      <vt:variant>
        <vt:lpwstr/>
      </vt:variant>
      <vt:variant>
        <vt:i4>6094946</vt:i4>
      </vt:variant>
      <vt:variant>
        <vt:i4>0</vt:i4>
      </vt:variant>
      <vt:variant>
        <vt:i4>0</vt:i4>
      </vt:variant>
      <vt:variant>
        <vt:i4>5</vt:i4>
      </vt:variant>
      <vt:variant>
        <vt:lpwstr>http://www.hrichina.org/fs/view/downloadables/pdf/downloadable-resources/b1_Criminalizing1.2004.pdf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subject/>
  <dc:creator>Nova Medinda</dc:creator>
  <cp:keywords/>
  <cp:lastModifiedBy>Nova Medinda</cp:lastModifiedBy>
  <cp:revision>10</cp:revision>
  <cp:lastPrinted>2023-01-27T15:38:00Z</cp:lastPrinted>
  <dcterms:created xsi:type="dcterms:W3CDTF">2023-01-12T20:01:00Z</dcterms:created>
  <dcterms:modified xsi:type="dcterms:W3CDTF">2023-01-28T02:01:00Z</dcterms:modified>
</cp:coreProperties>
</file>